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AC" w:rsidRDefault="00BF09AC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3F1CDD" w:rsidRDefault="00327383" w:rsidP="000B5517">
      <w:pPr>
        <w:ind w:left="709" w:right="678" w:firstLine="708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 xml:space="preserve">средств (торговое название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Normal"/>
        <w:tblW w:w="15196" w:type="dxa"/>
        <w:jc w:val="center"/>
        <w:tblInd w:w="-3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460"/>
        <w:gridCol w:w="1076"/>
        <w:gridCol w:w="6662"/>
        <w:gridCol w:w="850"/>
        <w:gridCol w:w="1134"/>
        <w:gridCol w:w="1133"/>
      </w:tblGrid>
      <w:tr w:rsidR="000B5517" w:rsidRPr="00BF09AC" w:rsidTr="000B5517">
        <w:trPr>
          <w:trHeight w:val="864"/>
          <w:jc w:val="center"/>
        </w:trPr>
        <w:tc>
          <w:tcPr>
            <w:tcW w:w="881" w:type="dxa"/>
            <w:shd w:val="clear" w:color="auto" w:fill="E0F7FF"/>
          </w:tcPr>
          <w:p w:rsidR="002A2F9F" w:rsidRPr="000B5517" w:rsidRDefault="002A2F9F" w:rsidP="00965FD2">
            <w:pPr>
              <w:pStyle w:val="TableParagraph"/>
              <w:spacing w:before="2" w:line="240" w:lineRule="auto"/>
              <w:ind w:left="225" w:right="195" w:firstLine="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0B5517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460" w:type="dxa"/>
            <w:shd w:val="clear" w:color="auto" w:fill="E0F7FF"/>
          </w:tcPr>
          <w:p w:rsidR="002A2F9F" w:rsidRPr="000B5517" w:rsidRDefault="002A2F9F" w:rsidP="00BF09AC">
            <w:pPr>
              <w:pStyle w:val="TableParagraph"/>
              <w:spacing w:before="2" w:line="240" w:lineRule="auto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0B551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товара</w:t>
            </w:r>
          </w:p>
        </w:tc>
        <w:tc>
          <w:tcPr>
            <w:tcW w:w="1076" w:type="dxa"/>
            <w:shd w:val="clear" w:color="auto" w:fill="E0F7FF"/>
          </w:tcPr>
          <w:p w:rsidR="002A2F9F" w:rsidRPr="000B5517" w:rsidRDefault="002A2F9F" w:rsidP="0098727F">
            <w:pPr>
              <w:pStyle w:val="TableParagraph"/>
              <w:spacing w:before="2" w:line="240" w:lineRule="auto"/>
              <w:ind w:right="9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E0F7FF"/>
          </w:tcPr>
          <w:p w:rsidR="002A2F9F" w:rsidRPr="000B5517" w:rsidRDefault="002A2F9F" w:rsidP="002A2F9F">
            <w:pPr>
              <w:pStyle w:val="TableParagraph"/>
              <w:spacing w:before="2" w:line="240" w:lineRule="auto"/>
              <w:ind w:right="9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ТС</w:t>
            </w:r>
          </w:p>
        </w:tc>
        <w:tc>
          <w:tcPr>
            <w:tcW w:w="850" w:type="dxa"/>
            <w:shd w:val="clear" w:color="auto" w:fill="E0F7FF"/>
          </w:tcPr>
          <w:p w:rsidR="002A2F9F" w:rsidRPr="000B5517" w:rsidRDefault="002A2F9F" w:rsidP="00965FD2">
            <w:pPr>
              <w:pStyle w:val="TableParagraph"/>
              <w:spacing w:before="2" w:line="240" w:lineRule="auto"/>
              <w:ind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134" w:type="dxa"/>
            <w:shd w:val="clear" w:color="auto" w:fill="E0F7FF"/>
          </w:tcPr>
          <w:p w:rsidR="002A2F9F" w:rsidRPr="000B5517" w:rsidRDefault="002A2F9F" w:rsidP="00965FD2">
            <w:pPr>
              <w:pStyle w:val="TableParagraph"/>
              <w:spacing w:before="2" w:line="240" w:lineRule="auto"/>
              <w:ind w:right="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  <w:proofErr w:type="spellEnd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B551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  <w:tc>
          <w:tcPr>
            <w:tcW w:w="1133" w:type="dxa"/>
            <w:shd w:val="clear" w:color="auto" w:fill="E0F7FF"/>
          </w:tcPr>
          <w:p w:rsidR="002A2F9F" w:rsidRPr="000B5517" w:rsidRDefault="002A2F9F" w:rsidP="00965FD2">
            <w:pPr>
              <w:pStyle w:val="TableParagraph"/>
              <w:spacing w:before="2" w:line="240" w:lineRule="auto"/>
              <w:ind w:right="9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spellEnd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B551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b/>
                <w:sz w:val="20"/>
                <w:szCs w:val="20"/>
              </w:rPr>
              <w:t>тг</w:t>
            </w:r>
            <w:proofErr w:type="spellEnd"/>
          </w:p>
        </w:tc>
      </w:tr>
      <w:tr w:rsidR="000B5517" w:rsidRPr="00BF09AC" w:rsidTr="00C873C7">
        <w:trPr>
          <w:trHeight w:val="412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Лизирующий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BF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FDT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BF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FDT</w:t>
            </w:r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76" w:type="dxa"/>
            <w:vAlign w:val="center"/>
          </w:tcPr>
          <w:p w:rsidR="000B5517" w:rsidRPr="000B5517" w:rsidRDefault="000B5517" w:rsidP="0098727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Лизирующий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реагент </w:t>
            </w:r>
            <w:r w:rsidRPr="006B1A67">
              <w:rPr>
                <w:rFonts w:ascii="Times New Roman" w:hAnsi="Times New Roman" w:cs="Times New Roman"/>
              </w:rPr>
              <w:t>Lyse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гематологичекого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анализатора </w:t>
            </w:r>
            <w:r w:rsidRPr="006B1A67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-6800, применяется для растворения красных кровяных клеток (эритроцитов), окрашивания клеток, обнаружения содержания лимфоцитов, моноцитов, эозинофилов и нейтрофилов. Состав: положительные ионные поверхностно-активные вещества и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неионногенные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поверхностно-активные вещества. Объем: 500 мл. Срок годности 12 месяцев при температуре от 2 до 30°С. Стабильность вскрытого реагента 60 дней при температуре от 2 до 30°С.</w:t>
            </w:r>
          </w:p>
        </w:tc>
        <w:tc>
          <w:tcPr>
            <w:tcW w:w="850" w:type="dxa"/>
            <w:vAlign w:val="center"/>
          </w:tcPr>
          <w:p w:rsidR="000B5517" w:rsidRPr="000B5517" w:rsidRDefault="002D412A" w:rsidP="002D412A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2D412A" w:rsidRDefault="002D412A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56200</w:t>
            </w:r>
          </w:p>
        </w:tc>
      </w:tr>
      <w:tr w:rsidR="000B5517" w:rsidRPr="00BF09AC" w:rsidTr="00C873C7">
        <w:trPr>
          <w:trHeight w:val="414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spacing w:line="204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206" w:lineRule="exact"/>
              <w:ind w:left="108" w:right="16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Лизирующий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реагент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BF-6500 (SLS-</w:t>
            </w:r>
            <w:r w:rsidRPr="000B5517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I)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(BF-6500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(SLS-I))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Лизирующий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реагент  </w:t>
            </w:r>
            <w:r w:rsidRPr="00A57F78">
              <w:rPr>
                <w:rFonts w:ascii="Times New Roman" w:hAnsi="Times New Roman" w:cs="Times New Roman"/>
              </w:rPr>
              <w:t>Lyse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гематологичекого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анализатора </w:t>
            </w:r>
            <w:r w:rsidRPr="00A57F78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-6800, применяется для растворения красных кровяных клеток (эритроцитов), обнаружения содержания белых кровяных клеток (лейкоцитов), базофилов и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гемаглобина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>.  Состав: катионные поверхностно-активные вещества. Объем: 500 мл. Срок годности в течение 12 месяцев, при температуре от 2 до 30°С. Стабильность вскрытого реагента 14 дней при температуре от 2 до 8°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</w:tc>
        <w:tc>
          <w:tcPr>
            <w:tcW w:w="850" w:type="dxa"/>
            <w:vAlign w:val="center"/>
          </w:tcPr>
          <w:p w:rsidR="000B5517" w:rsidRPr="002D412A" w:rsidRDefault="002D412A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204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vAlign w:val="center"/>
          </w:tcPr>
          <w:p w:rsidR="000B5517" w:rsidRPr="002D412A" w:rsidRDefault="002D412A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72400</w:t>
            </w:r>
          </w:p>
        </w:tc>
      </w:tr>
      <w:tr w:rsidR="000B5517" w:rsidRPr="00BF09AC" w:rsidTr="00C873C7">
        <w:trPr>
          <w:trHeight w:val="481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Лизирующий</w:t>
            </w:r>
            <w:proofErr w:type="spellEnd"/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реагент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BF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FDO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BF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FDO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Lyse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Лизирующий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реагент  </w:t>
            </w:r>
            <w:r w:rsidRPr="006B1A67">
              <w:rPr>
                <w:rFonts w:ascii="Times New Roman" w:hAnsi="Times New Roman" w:cs="Times New Roman"/>
              </w:rPr>
              <w:t>Lyse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гематологичекого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анализатора </w:t>
            </w:r>
            <w:r w:rsidRPr="006B1A67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-6800, применяется для растворения красных кровяных клеток (эритроцитов), окрашивания клеток, обнаружения содержания лимфоцитов, моноцитов, эозинофилов и нейтрофилов. Состав: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неионногенные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поверхностно-активные вещества. Объем: 5 л. Срок годности 12 месяцев при температуре от 2 до 30°С. Стабильность вскрытого реагента 60 дней при температуре от 2 до 30°С.</w:t>
            </w:r>
          </w:p>
        </w:tc>
        <w:tc>
          <w:tcPr>
            <w:tcW w:w="850" w:type="dxa"/>
            <w:vAlign w:val="center"/>
          </w:tcPr>
          <w:p w:rsidR="000B5517" w:rsidRPr="002D412A" w:rsidRDefault="002D412A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vAlign w:val="center"/>
          </w:tcPr>
          <w:p w:rsidR="000B5517" w:rsidRPr="002D412A" w:rsidRDefault="002D412A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396600</w:t>
            </w:r>
          </w:p>
        </w:tc>
      </w:tr>
      <w:tr w:rsidR="000B5517" w:rsidRPr="00BF09AC" w:rsidTr="00C873C7">
        <w:trPr>
          <w:trHeight w:val="417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6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Дилюент</w:t>
            </w:r>
            <w:proofErr w:type="spellEnd"/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BF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(BF-Diluent)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Дилюент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гематологичекого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анализатора </w:t>
            </w:r>
            <w:r w:rsidRPr="00A57F78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-6800, применяется для разбавления образцов. Принцип метода: При наличии соответствующих осмотического давления и проводимости, сохраняется целостность первоначального объема клеток крови в определенный период времени, чтобы гарантировать доступ к величине пульса, соответствующего объему клетки. Состав: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содиум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сульфат, калия хлорид, натрия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дигидрофосфат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, калия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дигидроортофосфат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>. Объем: 20 л. Срок годности 12 месяцев при температуре от 2 до 30°С. Стабильность вскрытого реагента 60 дней при температуре от 2 до 30°С.</w:t>
            </w:r>
          </w:p>
        </w:tc>
        <w:tc>
          <w:tcPr>
            <w:tcW w:w="850" w:type="dxa"/>
            <w:vAlign w:val="center"/>
          </w:tcPr>
          <w:p w:rsidR="000B5517" w:rsidRPr="002D412A" w:rsidRDefault="002D412A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6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2D412A" w:rsidRDefault="002D412A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66200</w:t>
            </w:r>
          </w:p>
        </w:tc>
      </w:tr>
      <w:tr w:rsidR="000B5517" w:rsidRPr="00BF09AC" w:rsidTr="00C873C7">
        <w:trPr>
          <w:trHeight w:val="407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8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Детергент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BF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(BF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Detergent)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r w:rsidRPr="003912F1">
              <w:rPr>
                <w:rFonts w:ascii="Times New Roman" w:hAnsi="Times New Roman" w:cs="Times New Roman"/>
                <w:lang w:val="ru-RU"/>
              </w:rPr>
              <w:t xml:space="preserve">Детергент  для </w:t>
            </w:r>
            <w:proofErr w:type="spellStart"/>
            <w:r w:rsidRPr="003912F1">
              <w:rPr>
                <w:rFonts w:ascii="Times New Roman" w:hAnsi="Times New Roman" w:cs="Times New Roman"/>
                <w:lang w:val="ru-RU"/>
              </w:rPr>
              <w:t>гематологичекого</w:t>
            </w:r>
            <w:proofErr w:type="spellEnd"/>
            <w:r w:rsidRPr="003912F1">
              <w:rPr>
                <w:rFonts w:ascii="Times New Roman" w:hAnsi="Times New Roman" w:cs="Times New Roman"/>
                <w:lang w:val="ru-RU"/>
              </w:rPr>
              <w:t xml:space="preserve"> анализатора </w:t>
            </w:r>
            <w:r w:rsidRPr="00A57F78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>-6800, применяется для очистки анализатора, предотвращает накопление белка. Принцип метода: удаляет лизис, клетки и остатки белков в анализаторе. Состав: натрия гипохлорит.  Объем: 500 мл. Срок годности 12 месяцев при температуре от 2 до 30°С. Стабильность вскрытого реагента 30 дней при температуре от 2 до 30°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</w:tc>
        <w:tc>
          <w:tcPr>
            <w:tcW w:w="850" w:type="dxa"/>
            <w:vAlign w:val="center"/>
          </w:tcPr>
          <w:p w:rsidR="000B5517" w:rsidRPr="000B5517" w:rsidRDefault="000B5517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8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66200</w:t>
            </w:r>
          </w:p>
        </w:tc>
      </w:tr>
      <w:tr w:rsidR="000B5517" w:rsidRPr="00BF09AC" w:rsidTr="00C873C7">
        <w:trPr>
          <w:trHeight w:val="1034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spacing w:line="240" w:lineRule="auto"/>
              <w:ind w:left="108" w:righ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материал для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автоматического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гематологического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анализатор (5-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Уровень 1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Hematology</w:t>
            </w:r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1))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r w:rsidRPr="003912F1">
              <w:rPr>
                <w:rFonts w:ascii="Times New Roman" w:hAnsi="Times New Roman" w:cs="Times New Roman"/>
                <w:lang w:val="ru-RU"/>
              </w:rPr>
              <w:t xml:space="preserve">Контрольная кровь предназначена для оценки точности и достоверности проведения результатов на гематологическом анализаторе  </w:t>
            </w:r>
            <w:r w:rsidRPr="00A57F78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 по 5 популяциям. Состав: </w:t>
            </w:r>
            <w:r w:rsidRPr="00A57F78">
              <w:rPr>
                <w:rFonts w:ascii="Times New Roman" w:hAnsi="Times New Roman" w:cs="Times New Roman"/>
              </w:rPr>
              <w:t>RBCs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,</w:t>
            </w:r>
            <w:r w:rsidRPr="00A57F78">
              <w:rPr>
                <w:rFonts w:ascii="Times New Roman" w:hAnsi="Times New Roman" w:cs="Times New Roman"/>
              </w:rPr>
              <w:t>WBCs</w:t>
            </w:r>
            <w:r w:rsidRPr="003912F1">
              <w:rPr>
                <w:rFonts w:ascii="Times New Roman" w:hAnsi="Times New Roman" w:cs="Times New Roman"/>
                <w:lang w:val="ru-RU"/>
              </w:rPr>
              <w:t>,</w:t>
            </w:r>
            <w:r w:rsidRPr="00A57F78">
              <w:rPr>
                <w:rFonts w:ascii="Times New Roman" w:hAnsi="Times New Roman" w:cs="Times New Roman"/>
              </w:rPr>
              <w:t>PLTs</w:t>
            </w:r>
            <w:proofErr w:type="gramEnd"/>
            <w:r w:rsidRPr="003912F1">
              <w:rPr>
                <w:rFonts w:ascii="Times New Roman" w:hAnsi="Times New Roman" w:cs="Times New Roman"/>
                <w:lang w:val="ru-RU"/>
              </w:rPr>
              <w:t xml:space="preserve"> экстракт животного происхождения. Срок годности 3 месяца при температуре от 2 до 8°С. Стабильность вскрытого флакона 7 дней при температуре от 2 до 8°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0B5517" w:rsidRPr="00F313DE" w:rsidRDefault="000B5517" w:rsidP="0098727F">
            <w:pPr>
              <w:rPr>
                <w:rFonts w:ascii="Times New Roman" w:hAnsi="Times New Roman" w:cs="Times New Roman"/>
              </w:rPr>
            </w:pPr>
            <w:proofErr w:type="spellStart"/>
            <w:r w:rsidRPr="00A57F78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A57F78">
              <w:rPr>
                <w:rFonts w:ascii="Times New Roman" w:hAnsi="Times New Roman" w:cs="Times New Roman"/>
              </w:rPr>
              <w:t xml:space="preserve"> 1 - 2,5 мл</w:t>
            </w: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66200</w:t>
            </w:r>
          </w:p>
        </w:tc>
      </w:tr>
      <w:tr w:rsidR="000B5517" w:rsidRPr="00BF09AC" w:rsidTr="00C873C7">
        <w:trPr>
          <w:trHeight w:val="1034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965FD2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spacing w:line="240" w:lineRule="auto"/>
              <w:ind w:left="108" w:righ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материал для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автоматического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гематологического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анализатор (5-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Уровень 2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Hematology</w:t>
            </w:r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2))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</w:tcPr>
          <w:p w:rsidR="000B5517" w:rsidRPr="003912F1" w:rsidRDefault="000B5517" w:rsidP="0098727F">
            <w:pPr>
              <w:rPr>
                <w:rFonts w:ascii="Times New Roman" w:hAnsi="Times New Roman" w:cs="Times New Roman"/>
                <w:lang w:val="ru-RU"/>
              </w:rPr>
            </w:pPr>
            <w:r w:rsidRPr="003912F1">
              <w:rPr>
                <w:rFonts w:ascii="Times New Roman" w:hAnsi="Times New Roman" w:cs="Times New Roman"/>
                <w:lang w:val="ru-RU"/>
              </w:rPr>
              <w:t xml:space="preserve">Контрольная кровь предназначена для оценки точности и достоверности проведения результатов на гематологическом анализаторе  </w:t>
            </w:r>
            <w:r w:rsidRPr="00A57F78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 по 5 популяциям Состав: </w:t>
            </w:r>
            <w:r w:rsidRPr="00A57F78">
              <w:rPr>
                <w:rFonts w:ascii="Times New Roman" w:hAnsi="Times New Roman" w:cs="Times New Roman"/>
              </w:rPr>
              <w:t>RBCs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,</w:t>
            </w:r>
            <w:r w:rsidRPr="00A57F78">
              <w:rPr>
                <w:rFonts w:ascii="Times New Roman" w:hAnsi="Times New Roman" w:cs="Times New Roman"/>
              </w:rPr>
              <w:t>WBCs</w:t>
            </w:r>
            <w:r w:rsidRPr="003912F1">
              <w:rPr>
                <w:rFonts w:ascii="Times New Roman" w:hAnsi="Times New Roman" w:cs="Times New Roman"/>
                <w:lang w:val="ru-RU"/>
              </w:rPr>
              <w:t>,</w:t>
            </w:r>
            <w:r w:rsidRPr="00A57F78">
              <w:rPr>
                <w:rFonts w:ascii="Times New Roman" w:hAnsi="Times New Roman" w:cs="Times New Roman"/>
              </w:rPr>
              <w:t>PLTs</w:t>
            </w:r>
            <w:proofErr w:type="gramEnd"/>
            <w:r w:rsidRPr="003912F1">
              <w:rPr>
                <w:rFonts w:ascii="Times New Roman" w:hAnsi="Times New Roman" w:cs="Times New Roman"/>
                <w:lang w:val="ru-RU"/>
              </w:rPr>
              <w:t xml:space="preserve"> экстракт животного происхождения. Срок годности 3 месяца при температуре от 2 до 8°С. Стабильность вскрытого флакона 7 дней при температуре от 2 до 8°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0B5517" w:rsidRPr="00F313DE" w:rsidRDefault="000B5517" w:rsidP="0098727F">
            <w:pPr>
              <w:rPr>
                <w:rFonts w:ascii="Times New Roman" w:hAnsi="Times New Roman" w:cs="Times New Roman"/>
              </w:rPr>
            </w:pPr>
            <w:proofErr w:type="spellStart"/>
            <w:r w:rsidRPr="00A57F78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A57F78">
              <w:rPr>
                <w:rFonts w:ascii="Times New Roman" w:hAnsi="Times New Roman" w:cs="Times New Roman"/>
              </w:rPr>
              <w:t xml:space="preserve"> 2 - 2,5 мл</w:t>
            </w:r>
          </w:p>
        </w:tc>
        <w:tc>
          <w:tcPr>
            <w:tcW w:w="850" w:type="dxa"/>
            <w:vAlign w:val="center"/>
          </w:tcPr>
          <w:p w:rsidR="000B5517" w:rsidRPr="000B5517" w:rsidRDefault="00480942" w:rsidP="0048094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66200</w:t>
            </w:r>
          </w:p>
        </w:tc>
      </w:tr>
      <w:tr w:rsidR="000B5517" w:rsidRPr="00BF09AC" w:rsidTr="00C873C7">
        <w:trPr>
          <w:trHeight w:val="1044"/>
          <w:jc w:val="center"/>
        </w:trPr>
        <w:tc>
          <w:tcPr>
            <w:tcW w:w="881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0B5517" w:rsidP="00965FD2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0B5517" w:rsidP="002A2F9F">
            <w:pPr>
              <w:pStyle w:val="TableParagraph"/>
              <w:spacing w:line="240" w:lineRule="auto"/>
              <w:ind w:left="108" w:right="1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материал для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автоматического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гематологического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анализатор (5-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Automatic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Hematology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5-</w:t>
            </w:r>
            <w:r w:rsidRPr="000B5517">
              <w:rPr>
                <w:rFonts w:ascii="Times New Roman" w:hAnsi="Times New Roman" w:cs="Times New Roman"/>
                <w:spacing w:val="-43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part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3))</w:t>
            </w:r>
          </w:p>
        </w:tc>
        <w:tc>
          <w:tcPr>
            <w:tcW w:w="1076" w:type="dxa"/>
            <w:tcBorders>
              <w:bottom w:val="double" w:sz="1" w:space="0" w:color="000000"/>
            </w:tcBorders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  <w:bottom w:val="double" w:sz="1" w:space="0" w:color="000000"/>
            </w:tcBorders>
          </w:tcPr>
          <w:p w:rsidR="000B5517" w:rsidRPr="003912F1" w:rsidRDefault="000B5517" w:rsidP="0098727F">
            <w:pPr>
              <w:tabs>
                <w:tab w:val="left" w:pos="250"/>
              </w:tabs>
              <w:rPr>
                <w:rFonts w:ascii="Times New Roman" w:hAnsi="Times New Roman" w:cs="Times New Roman"/>
                <w:lang w:val="ru-RU"/>
              </w:rPr>
            </w:pPr>
            <w:r w:rsidRPr="003912F1">
              <w:rPr>
                <w:rFonts w:ascii="Times New Roman" w:hAnsi="Times New Roman" w:cs="Times New Roman"/>
                <w:lang w:val="ru-RU"/>
              </w:rPr>
              <w:t xml:space="preserve">Контрольная кровь предназначена для оценки точности и достоверности проведения результатов на гематологическом анализаторе  </w:t>
            </w:r>
            <w:r w:rsidRPr="00A57F78">
              <w:rPr>
                <w:rFonts w:ascii="Times New Roman" w:hAnsi="Times New Roman" w:cs="Times New Roman"/>
              </w:rPr>
              <w:t>BF</w:t>
            </w:r>
            <w:r w:rsidRPr="003912F1">
              <w:rPr>
                <w:rFonts w:ascii="Times New Roman" w:hAnsi="Times New Roman" w:cs="Times New Roman"/>
                <w:lang w:val="ru-RU"/>
              </w:rPr>
              <w:t xml:space="preserve">-6800 по 5 популяциям. Состав: </w:t>
            </w:r>
            <w:r w:rsidRPr="00A57F78">
              <w:rPr>
                <w:rFonts w:ascii="Times New Roman" w:hAnsi="Times New Roman" w:cs="Times New Roman"/>
              </w:rPr>
              <w:t>RBCs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,</w:t>
            </w:r>
            <w:r w:rsidRPr="00A57F78">
              <w:rPr>
                <w:rFonts w:ascii="Times New Roman" w:hAnsi="Times New Roman" w:cs="Times New Roman"/>
              </w:rPr>
              <w:t>WBCs</w:t>
            </w:r>
            <w:r w:rsidRPr="003912F1">
              <w:rPr>
                <w:rFonts w:ascii="Times New Roman" w:hAnsi="Times New Roman" w:cs="Times New Roman"/>
                <w:lang w:val="ru-RU"/>
              </w:rPr>
              <w:t>,</w:t>
            </w:r>
            <w:r w:rsidRPr="00A57F78">
              <w:rPr>
                <w:rFonts w:ascii="Times New Roman" w:hAnsi="Times New Roman" w:cs="Times New Roman"/>
              </w:rPr>
              <w:t>PLTs</w:t>
            </w:r>
            <w:proofErr w:type="gramEnd"/>
            <w:r w:rsidRPr="003912F1">
              <w:rPr>
                <w:rFonts w:ascii="Times New Roman" w:hAnsi="Times New Roman" w:cs="Times New Roman"/>
                <w:lang w:val="ru-RU"/>
              </w:rPr>
              <w:t xml:space="preserve"> экстракт животного происхождения. Срок годности 3 месяца при температуре от 2 до 8°С. Стабильность вскрытого флакона 7 дней при температуре от 2 до 8°</w:t>
            </w:r>
            <w:proofErr w:type="gramStart"/>
            <w:r w:rsidRPr="003912F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0B5517" w:rsidRPr="00F313DE" w:rsidRDefault="000B5517" w:rsidP="0098727F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proofErr w:type="spellStart"/>
            <w:r w:rsidRPr="00A57F78">
              <w:rPr>
                <w:rFonts w:ascii="Times New Roman" w:hAnsi="Times New Roman" w:cs="Times New Roman"/>
              </w:rPr>
              <w:lastRenderedPageBreak/>
              <w:t>Уровень</w:t>
            </w:r>
            <w:proofErr w:type="spellEnd"/>
            <w:r w:rsidRPr="00A57F78">
              <w:rPr>
                <w:rFonts w:ascii="Times New Roman" w:hAnsi="Times New Roman" w:cs="Times New Roman"/>
              </w:rPr>
              <w:t xml:space="preserve"> 3 - 2,5 мл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480942" w:rsidP="0048094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48094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66200</w:t>
            </w:r>
          </w:p>
        </w:tc>
      </w:tr>
      <w:tr w:rsidR="000B5517" w:rsidRPr="00BF09AC" w:rsidTr="000B5517">
        <w:trPr>
          <w:trHeight w:val="412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     9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</w:t>
            </w:r>
            <w:proofErr w:type="spellEnd"/>
            <w:r w:rsidRPr="000B551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(Alanine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Aminotransferase)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 ALT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и диагностического определения в условиях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активности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аланинаминотрансферазы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(АЛТ) в сыворотке или плазме крови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240. Принцип реакции данного реагента соответствует методу, рекомендованному Международной Федерацией Клинической Химии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IFCC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В присутствии АЛТ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аланин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вступает в реакцию с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кетоглутаратом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 результате чего образуется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пируват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глутамат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Пируват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восстанавливается до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лактата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помощи ЛДГ, присутствующей в реагенте, а тем временем НАДН окисляется до НАД, что позволяет снизить значение абсорбции до 340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Активность АЛТ можно проверить за счет измерения скорости снижения абсорбции при 340нм.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Эндогенетический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пируват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образца восстанавливается ЛДГ во время периода задержки реакции, таким образом, чтобы он не создавал помех для теста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Компоненты: Реагент 1 -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Аланин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ЛДГ &gt;1820ЕД/Л;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80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80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НАДН &gt;0.75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кетоглутарат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36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Содержит нереакционный материал и стабилизатор. Продолжительность теста 60-120 секунд. Фасовка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Rl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4х50 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lx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</w:tc>
        <w:tc>
          <w:tcPr>
            <w:tcW w:w="850" w:type="dxa"/>
            <w:vAlign w:val="center"/>
          </w:tcPr>
          <w:p w:rsidR="000B5517" w:rsidRPr="000B5517" w:rsidRDefault="00480942" w:rsidP="0048094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29200</w:t>
            </w:r>
          </w:p>
        </w:tc>
      </w:tr>
      <w:tr w:rsidR="000B5517" w:rsidRPr="00BF09AC" w:rsidTr="000B5517">
        <w:trPr>
          <w:trHeight w:val="414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204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206" w:lineRule="exact"/>
              <w:ind w:left="108" w:right="37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(Aspartate</w:t>
            </w:r>
            <w:r w:rsidRPr="000B551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Aminotransferase)</w:t>
            </w:r>
            <w:r w:rsidRPr="000B55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AST</w:t>
            </w:r>
          </w:p>
        </w:tc>
        <w:tc>
          <w:tcPr>
            <w:tcW w:w="1076" w:type="dxa"/>
          </w:tcPr>
          <w:p w:rsidR="000B5517" w:rsidRPr="000B5517" w:rsidRDefault="000B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0B5517" w:rsidRPr="003912F1" w:rsidRDefault="000B5517" w:rsidP="002A2F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и диагностического определения в условиях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активности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аспартатаминотрансферазы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(АСТ) в сыворотке или плазме крови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240. Принцип реакции данного реагента соответствует методу, рекомендованному Международной Федерацией Клинической Химии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IFCC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Аспартатаминотрансфераза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(АСТ) в образце катализирует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аспартат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мин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-,что приводит к преобразованию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кетоглутарата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эфир уксусной кислоты и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глутамат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Эфир уксусной кислоты восстанавливается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малатдегидрогеназой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реагенте до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-яблочной кислоты.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это время НАДН окисляется до НАД, так что значение абсорбции света при 340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снижается.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контроле скорости снижения значения абсорбции при 340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измеряют активность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аспартата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аминотрансферазы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(АСТ).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Помехи эндогенного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пирувата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могут быть удалены быстро и полностью во время запаздывания.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Компоненты: Реагент 1 -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Лактат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дегидрогеназа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&gt;1365 ЕД/Л;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аспартат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&gt;80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ЭДТА 5.0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&gt;80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 Реагент 2 -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дегидрогеназа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&gt;1635 ЕД/Л;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кетоглутарат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36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НАДН &gt;0.75ммоль/л;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&gt;80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ЭДТА 5.0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.С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одержит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нереакционный материал и стабилизатор. Продолжительность теста 120~180 секунд. Линейный диапазон настоящего регента составляет 3 ~ 1000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4×50 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1х50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  <w:p w:rsidR="000B5517" w:rsidRPr="000B5517" w:rsidRDefault="000B5517" w:rsidP="002A2F9F">
            <w:pPr>
              <w:pStyle w:val="TableParagraph"/>
              <w:spacing w:line="204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204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29200</w:t>
            </w:r>
          </w:p>
        </w:tc>
      </w:tr>
      <w:tr w:rsidR="000B5517" w:rsidRPr="00BF09AC" w:rsidTr="000B5517">
        <w:trPr>
          <w:trHeight w:val="414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билирубин</w:t>
            </w:r>
            <w:proofErr w:type="spellEnd"/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(Total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Bilirubin)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– TB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0B5517" w:rsidRDefault="000B5517" w:rsidP="002A2F9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в условиях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 общего билирубина в сыворотке или плазме крови человека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240. В реагенте используется ПАВ в качестве растворителя. Связанный билирубин и несвязанный билирубин, которые были растворены, вступают в реакцию с диазо-сульфаниловой кислотой, в результате чего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образуетсяазо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-билирубин. Повышение абсорбции света при длине волны 570нм пропорционально концентрации общего билирубина. Концентрация общего билирубина в образце может быть рассчитана за счет проверки изменения абсорбции на длине волны 570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При анализе двойного луча длина волны холостого образца должна быть настроена на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750нм. Компоненты: Реагент 1 - Соляная кислота 100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сульфаниловая кислота 5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2- Нитрит натрия 72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Обмен компонентов из различных партий реагентов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запрещается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родолжительность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реакции 300-600 секунд. Линейный диапазон настоящего реагента – 0~300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 5×50 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1х 5 мл. Количество тестов в упаковке не менее 1068.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40200</w:t>
            </w:r>
          </w:p>
        </w:tc>
      </w:tr>
      <w:tr w:rsidR="000B5517" w:rsidRPr="00BF09AC" w:rsidTr="000B5517">
        <w:trPr>
          <w:trHeight w:val="412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холестерин</w:t>
            </w:r>
            <w:proofErr w:type="spellEnd"/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(Total Cholesterol)-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TC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3912F1" w:rsidRDefault="000B5517" w:rsidP="002A2F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в условиях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 общего холестерина в сыворотке или плазме человека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240. Холестериновый эфир в образце под воздействием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липопртеинэстеразы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реагенте селективно катализируется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гидролизуется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холестерин и свободную жирную кислоту. Образующийся в результате общий холестерин, окисляемый оксидазой холестерина, формирует холест-4-ен-3-ен-3-кетон и пероксид водорода. Под воздействием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пероксидазы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периоксид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водорода вступает в реакцию с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гидроксибензойной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кислотой и 4-амино-антипирином с образованием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хинониминового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пигмента. При этом объем образующегося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хинониминового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пигмента пропорционален содержанию общего холестерина в образце. Поэтому измерение образуемого объема пигмента на определенной длине волны позволяет рассчитать концентрацию общего холестерина. Компоненты: Реагент 1-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Липопротеинлипаза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 300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Пероксидаза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 750 ЕД/Л;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гидроксибензойная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кислота 45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Тритон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-100 0.3%; Буфер 50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2 - 4аминоантипирн 0.3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Холестериноксидаза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 300 ЕД/Л; Буфер 50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Содержит нереактивный заполнитель и стабилизатор.  Продолжительность реакции 5~10 минут. Линейный диапазон настоящего реагента – 0-20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/л (774 мг/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.Ф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4×50 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1х50 мл. 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  <w:p w:rsidR="000B5517" w:rsidRPr="000B5517" w:rsidRDefault="000B5517" w:rsidP="002A2F9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70200</w:t>
            </w:r>
          </w:p>
        </w:tc>
      </w:tr>
      <w:tr w:rsidR="000B5517" w:rsidRPr="00BF09AC" w:rsidTr="000B5517">
        <w:trPr>
          <w:trHeight w:val="621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204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spacing w:line="240" w:lineRule="auto"/>
              <w:ind w:left="108" w:right="5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Глюкоза-Гексокиназа</w:t>
            </w:r>
            <w:proofErr w:type="spellEnd"/>
            <w:r w:rsidRPr="000B551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(Glucose-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Hexokinase)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-GLU-HK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spacing w:line="204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0B5517" w:rsidRDefault="000B5517" w:rsidP="002A2F9F">
            <w:pPr>
              <w:pStyle w:val="TableParagraph"/>
              <w:spacing w:line="204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определения в условиях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 глюкозы, содержащейся в сыворотке, плазме крови или моче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240. Глюкоза в образце при активации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гексокиназой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глюкозой - 6 – фосфат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дегидрогеназой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PDH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вступает в реакцию с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 результате чего образуется глюкоза - 6 – фосфат и аденозин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дифосфат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Глюкоза - 6 – фосфорная кислота окисляется в 6 –фосфат глюкозу в жирах, а в это время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реагенте восстанавливается до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NADH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вызывая повышения значения абсорбции света при 340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Значении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NADH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пропорционально количеству глюкозу. Расчет концентрации глюкозы осуществляется за счет измерения изменения значения абсорбции при 340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Компоненты: Реагент 1 -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Трифосаденин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1.30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Гексокиназа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&gt;1500 </w:t>
            </w:r>
            <w:proofErr w:type="spellStart"/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spellEnd"/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-6-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PDH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&gt;2500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Буфер 50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NADH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0.65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Буфер 50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/л. Содержит нереакционный материал и стабилизатор. Длительность теста 300~600 секунд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Линейный диапазон составляет 0-40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л (720мг/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4×50мл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1х 50мл.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Расстояние между дном флакона и штрих кодом должно соответствовать диапазону 15мм-25мм.</w:t>
            </w: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204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35200</w:t>
            </w:r>
          </w:p>
        </w:tc>
      </w:tr>
      <w:tr w:rsidR="000B5517" w:rsidRPr="00BF09AC" w:rsidTr="000B5517">
        <w:trPr>
          <w:trHeight w:val="208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188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Мочевина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(Urea) -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UREA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spacing w:line="188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3912F1" w:rsidRDefault="000B5517" w:rsidP="002A2F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invitro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 мочевины в сыворотке крови, плазме или моче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240.  Мочевина в образце, катализированная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уреазой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реагенте, вступает в реакцию с водой, в результате чего образуется аммиак и диоксид углерода. Аммиак и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кетоглутаровая кислота в реагенте при катализе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глутамата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дегидрогеназы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(ГЛДГ) образуют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глутамовую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кислоту, при этом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NADH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окисляется до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. Таким образом, абсорбция света на 340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снижается. Контроль уровня снижения абсорбции света при 340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позволяет рассчитать концентрацию мочевины в образце. Компоненты: Реагент 1-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-кетоглутаровая кислота 7.5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Глутамат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дегидрогеназа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&gt;800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NADH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0.35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Аденозин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дифосфат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1.5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115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115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Уреаза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 40000 ЕД/Л;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-кетоглутаровая кислота 7.5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Содержит нереакционный материал и стабилизатор. Продолжительность теста 60 секунд. Линейный диапазон настоящего реагента – 0-35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/л (азот мочевины 98 мг/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).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4×50 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1х 50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  <w:p w:rsidR="000B5517" w:rsidRPr="000B5517" w:rsidRDefault="000B5517" w:rsidP="002A2F9F">
            <w:pPr>
              <w:pStyle w:val="TableParagraph"/>
              <w:spacing w:line="188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8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55600</w:t>
            </w:r>
          </w:p>
        </w:tc>
      </w:tr>
      <w:tr w:rsidR="000B5517" w:rsidRPr="00BF09AC" w:rsidTr="000B5517">
        <w:trPr>
          <w:trHeight w:val="205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186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proofErr w:type="spellEnd"/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белок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(Total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Protein) -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TP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spacing w:line="186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3912F1" w:rsidRDefault="000B5517" w:rsidP="000B551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invitro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 общего белка в сыворотке или плазме крови человека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240.  В настоящем реагенте используется метод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биуретовой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реакции,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т.е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реакции между пептидной связью молекулы белка и ионом меди образуется сине-пурпурный комплекс в щелочном растворе. Каждый ион меди образует комплекс с 5-6 пептидной связью. Добавление йодида в реагент может предотвратить автоматическую реверсию соединения меди. Сине-пурпурный пигмент находится в прямой пропорции к концентрации общего белка, которую можно рассчитать за счет измерения изменений абсорбции при 520~560нм. При использовании двухлучевого анализа длина волны холостого раствора должна быть установлена на 600~700нм. Компоненты: Сульфат меди 12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Виннокислый калий-натрий 64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Калия йодид 6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Натрия гидроксид 200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Обмен компонентов из различных партий реагентов запрещается. Продолжительность реакции 300 секунд. Линейный диапазон настоящего реагента – 0-150 г/л;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5×50 мл. Количество тестов в упаковке не менее 870.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  <w:p w:rsidR="000B5517" w:rsidRPr="000B5517" w:rsidRDefault="000B5517" w:rsidP="002A2F9F">
            <w:pPr>
              <w:pStyle w:val="TableParagraph"/>
              <w:spacing w:line="186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B5517" w:rsidRPr="00480942" w:rsidRDefault="00480942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6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vAlign w:val="center"/>
          </w:tcPr>
          <w:p w:rsidR="000B5517" w:rsidRPr="00480942" w:rsidRDefault="00480942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20600</w:t>
            </w:r>
          </w:p>
        </w:tc>
      </w:tr>
      <w:tr w:rsidR="000B5517" w:rsidRPr="00BF09AC" w:rsidTr="000B5517">
        <w:trPr>
          <w:trHeight w:val="206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186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Триглицериды</w:t>
            </w:r>
            <w:proofErr w:type="spellEnd"/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(Triglycerides)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TG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spacing w:line="186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3912F1" w:rsidRDefault="000B5517" w:rsidP="000B551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в условиях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vitro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триглицеридов в сыворотке или плазме человека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240.  Триглицериды в образце катализируются липопротеин липазой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гидролизуются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глицерин и свободную жирную кислоту, под воздействием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глицеринкиназы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GK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и аденозин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трифосфата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образуется глицерин, глицерин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фосфорилируется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3-глицерофосфат. Под действием глицерин фосфат оксидазы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GPO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), он вступает в реакцию с кислородом, в результате чего образуется пероксид водорода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дигидроксиацетон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фосфат. Под воздействием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пероксидазы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периоксид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водорода вступает в реакцию с анилиновым красителем оригинального материала и 4-амино-антипирином с образованием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хинониминового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пигмента. При этом объем образующегося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хинониминового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пигмента пропорционален содержанию общего триглицеридов в образце. Поэтому измерение образуемого объема пигмента на определенной длине волны позволяет рассчитать концентрацию триглицеридов. Компоненты: Реагент 1- Липопротеин липаза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LPL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&gt;1250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ATP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0.70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ЭДТА 10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TOOS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1.875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Сульфат магния 12.5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GPO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&gt;5000 ЕД/Л; Глицерин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киназа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GK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&gt;1250 ЕД/Л; Буфер 100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2 -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&gt;750 ЕД/Л; ЭДТА 10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4-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аминоантипирин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2.0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Буфер 100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Содержит нереактивный заполнитель и стабилизатор. Линейный диапазон настоящего реагента – 0-9,0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4×50 мл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1х50 мл.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  <w:p w:rsidR="000B5517" w:rsidRPr="000B5517" w:rsidRDefault="000B5517" w:rsidP="002A2F9F">
            <w:pPr>
              <w:pStyle w:val="TableParagraph"/>
              <w:spacing w:line="186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B5517" w:rsidRPr="000B5517" w:rsidRDefault="00480942" w:rsidP="000C4EC8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6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3" w:type="dxa"/>
            <w:vAlign w:val="center"/>
          </w:tcPr>
          <w:p w:rsidR="000B5517" w:rsidRPr="000C4EC8" w:rsidRDefault="000C4EC8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81800</w:t>
            </w:r>
          </w:p>
        </w:tc>
      </w:tr>
      <w:tr w:rsidR="000B5517" w:rsidRPr="00BF09AC" w:rsidTr="000B5517">
        <w:trPr>
          <w:trHeight w:val="208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188" w:lineRule="exact"/>
              <w:ind w:left="307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17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8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Амилаза</w:t>
            </w:r>
            <w:proofErr w:type="spellEnd"/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(Amylase)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AMY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spacing w:line="188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0B5517" w:rsidRDefault="000B5517" w:rsidP="002A2F9F">
            <w:pPr>
              <w:pStyle w:val="TableParagraph"/>
              <w:spacing w:line="188" w:lineRule="exact"/>
              <w:ind w:right="9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лабораторного квантитативного определения активности </w:t>
            </w:r>
            <w:proofErr w:type="gram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ɑ-</w:t>
            </w:r>
            <w:proofErr w:type="gram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амилаза в сыворотке крови человека или моче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240. Данный реагент действует методу, рекомендованному Международной федерацией клинической химии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IFCC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), этилен-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pNP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(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pNP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7) принимается в качестве субстрата для предотвращения разложения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эктоэнзима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Компоненты:  Реагент 1-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Глюкозидаза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eastAsia="MS Gothic" w:hAnsi="Times New Roman" w:cs="Times New Roman"/>
                <w:sz w:val="20"/>
                <w:szCs w:val="20"/>
                <w:lang w:val="ru-RU"/>
              </w:rPr>
              <w:t>＞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4500 у./л.; Сульфат магния 10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./л.; Хлорид натрия 50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./л.; Буфер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HEPES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./л. Реагент 2 -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pNP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7 5.5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./л.; 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уфер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HEPES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./л.; Хлорид натрия 50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./л.; Компоненты не могут быть взаимозаменяемы в различных комплектах. Время тестирования 60 сек. Линейный диапазон реагента: свыше 1500 у/л.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4×50 мл.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1×50 мл. Количество тестов в упаковке не менее 783.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Расстояние между дном флакона и штрих кодом должно соответствовать диапазону 15мм-25мм.</w:t>
            </w:r>
          </w:p>
        </w:tc>
        <w:tc>
          <w:tcPr>
            <w:tcW w:w="850" w:type="dxa"/>
            <w:vAlign w:val="center"/>
          </w:tcPr>
          <w:p w:rsidR="000B5517" w:rsidRPr="000C4EC8" w:rsidRDefault="000C4EC8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8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3" w:type="dxa"/>
            <w:vAlign w:val="center"/>
          </w:tcPr>
          <w:p w:rsidR="000B5517" w:rsidRPr="000C4EC8" w:rsidRDefault="000C4EC8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420600</w:t>
            </w:r>
          </w:p>
        </w:tc>
      </w:tr>
      <w:tr w:rsidR="000B5517" w:rsidRPr="00BF09AC" w:rsidTr="000B5517">
        <w:trPr>
          <w:trHeight w:val="205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spacing w:line="186" w:lineRule="exact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965FD2">
            <w:pPr>
              <w:pStyle w:val="TableParagraph"/>
              <w:spacing w:line="18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Креатинин</w:t>
            </w:r>
            <w:proofErr w:type="spellEnd"/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spacing w:line="186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0B5517" w:rsidRDefault="000B5517" w:rsidP="000B551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Реагент применяется для количественного измерения в условиях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invitro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концентрации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сыворотке, плазме крови или моче на биохимическом анализаторе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240.  Креатин может образовываться при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гидролизации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амидо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гидролазой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образце. Креатин может быть гидролизован под действием креатин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амидин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гидролазы и образовывать мочевину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саркозин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Под воздействием оксидазы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саркозина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креатинин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может образовывать глицин и пероксид водорода, который вступает в реакцию с 4 –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аминоантипирином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хромогеновыми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соединениями под воздействием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пероксидазы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 образует пигмент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хинонимин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Впоследствии содержание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креатинина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образце может быть рассчитано посредством контроля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образованного объема пигмента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хинонимина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определенной точке длины волны. Реагент включает следующие компоненты и механизм, который исключает помехи для расчета креатина в образце в соответствии с принципами реакции. Компоненты: Реагент 1-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100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-этил-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сульфо-гидроксипропил-интер-толуидин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KCl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Креатинин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амидо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гидролаза 400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ЕД/Л;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Саркозин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оксидаза 8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ЕД/Л;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HRP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700 </w:t>
            </w:r>
            <w:proofErr w:type="gram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gram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Реагент 2 -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Трис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буфер 100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Магния ацетат 2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4 -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аминоантипирин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1.2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Креатин гидролаза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амидин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40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/Л. 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Содержит стабилизатор. Время теста 300 секунд. Линейный диапазон настоящего реагента составляет 0 ~ 2500 </w:t>
            </w:r>
            <w:proofErr w:type="spellStart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мкмоль</w:t>
            </w:r>
            <w:proofErr w:type="spellEnd"/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/л; Фасовка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912F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1×100 мл Количество тестов в упаковке не менее 587. Реагенты поставляются в одноразовой заводской упаковке (флакон). Флакон имеет индивидуальный штрих код, который содержит информацию о наименовании реагента, тип реагента, объем реагента, дате производства реагента, дате окончании срока годности реагента.  Штрих код флакона должен быть совместим с ОС анализатора и системой безопасности анализатора. Не допускается загрязнения и повреждения штрих кода.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Расстояние между дном флакона и штрих кодом должно соответствовать диапазону 15мм-25мм.</w:t>
            </w:r>
          </w:p>
        </w:tc>
        <w:tc>
          <w:tcPr>
            <w:tcW w:w="850" w:type="dxa"/>
            <w:vAlign w:val="center"/>
          </w:tcPr>
          <w:p w:rsidR="000B5517" w:rsidRPr="000B5517" w:rsidRDefault="00480942" w:rsidP="00480942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spacing w:line="186" w:lineRule="exact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133" w:type="dxa"/>
            <w:vAlign w:val="center"/>
          </w:tcPr>
          <w:p w:rsidR="000B5517" w:rsidRPr="000C4EC8" w:rsidRDefault="000C4EC8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34000</w:t>
            </w:r>
          </w:p>
        </w:tc>
      </w:tr>
      <w:tr w:rsidR="000B5517" w:rsidRPr="00BF09AC" w:rsidTr="000B5517">
        <w:trPr>
          <w:trHeight w:val="621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Сыворотка</w:t>
            </w:r>
            <w:proofErr w:type="spellEnd"/>
            <w:r w:rsidRPr="000B55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клинико-химической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калибровки</w:t>
            </w:r>
            <w:proofErr w:type="spellEnd"/>
            <w:r w:rsidRPr="000B551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(Clinical</w:t>
            </w:r>
            <w:r w:rsidRPr="000B551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Calibration Serum)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0B5517" w:rsidRDefault="000B5517" w:rsidP="002A2F9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Калибровочный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раствор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приготовлен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биоматериала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предназначен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калибровки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клинического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биохимических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калибровки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биохимическом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анализаторе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CS-T240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аналитов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: ALB, ALP, ALT, AMY, AST, BUN, UREA,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-CPC,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-ARS, CHE, CK, CL, CO2, CRE, CRE-ENZYME, D-BIL, D-BIL-V, GGT, GLDH, GLU-HK, GLU-OX, HBDH, K, LAP, LDH, Mg-XB, Na, P-AMY, PHOS, TB, TB-V, TBA, TC, TG, TP, UA,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Zn,Fe,TIBC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. ACP. 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х 4.</w:t>
            </w:r>
          </w:p>
        </w:tc>
        <w:tc>
          <w:tcPr>
            <w:tcW w:w="850" w:type="dxa"/>
            <w:vAlign w:val="center"/>
          </w:tcPr>
          <w:p w:rsidR="000B5517" w:rsidRPr="000C4EC8" w:rsidRDefault="000C4EC8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vAlign w:val="center"/>
          </w:tcPr>
          <w:p w:rsidR="000B5517" w:rsidRPr="000C4EC8" w:rsidRDefault="000C4EC8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216200</w:t>
            </w:r>
          </w:p>
        </w:tc>
      </w:tr>
      <w:tr w:rsidR="000B5517" w:rsidRPr="00BF09AC" w:rsidTr="000B5517">
        <w:trPr>
          <w:trHeight w:val="827"/>
          <w:jc w:val="center"/>
        </w:trPr>
        <w:tc>
          <w:tcPr>
            <w:tcW w:w="881" w:type="dxa"/>
            <w:vAlign w:val="center"/>
          </w:tcPr>
          <w:p w:rsidR="000B5517" w:rsidRPr="000B5517" w:rsidRDefault="000B5517" w:rsidP="00BF09A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460" w:type="dxa"/>
            <w:vAlign w:val="center"/>
          </w:tcPr>
          <w:p w:rsidR="000B5517" w:rsidRPr="000B5517" w:rsidRDefault="000B5517" w:rsidP="002A2F9F">
            <w:pPr>
              <w:pStyle w:val="TableParagraph"/>
              <w:spacing w:line="242" w:lineRule="auto"/>
              <w:ind w:left="108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Сыворотка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клинико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химического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качества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 (Clinical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r w:rsidRPr="000B55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 w:rsidRPr="000B551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Serum</w:t>
            </w:r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Level 1)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</w:tcPr>
          <w:p w:rsidR="000B5517" w:rsidRPr="000B5517" w:rsidRDefault="000B5517" w:rsidP="002A2F9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Сыворотка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биохимических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1",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лиофилизованный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препарат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светло-желтого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светло-кремового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точности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воспроизводимости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биохимическом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анализаторе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 CS-T240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:  ALB, ALP, ALT, AMY, AST, BUN, UREA,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-CPC,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-ARS, CHE, CK, CL, CO2, CRE, CRE-ENZYME, D-BIL, D-BIL-V, GGT, GLDH, GLU-HK, GLU-OX, HBDH, K, LAP, LDH, Mg-XB, Na, P-AMY, PHOS, TB, TB-V, TBA, TC, TG, TP, UA,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Zn,Fe,TIBC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. ACP.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х 4</w:t>
            </w:r>
          </w:p>
        </w:tc>
        <w:tc>
          <w:tcPr>
            <w:tcW w:w="850" w:type="dxa"/>
            <w:vAlign w:val="center"/>
          </w:tcPr>
          <w:p w:rsidR="000B5517" w:rsidRPr="000C4EC8" w:rsidRDefault="000C4EC8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3" w:type="dxa"/>
            <w:vAlign w:val="center"/>
          </w:tcPr>
          <w:p w:rsidR="000B5517" w:rsidRPr="000C4EC8" w:rsidRDefault="000C4EC8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198800</w:t>
            </w:r>
          </w:p>
        </w:tc>
      </w:tr>
      <w:tr w:rsidR="000B5517" w:rsidRPr="00BF09AC" w:rsidTr="000B5517">
        <w:trPr>
          <w:trHeight w:val="835"/>
          <w:jc w:val="center"/>
        </w:trPr>
        <w:tc>
          <w:tcPr>
            <w:tcW w:w="881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0B5517" w:rsidP="00BF09AC">
            <w:pPr>
              <w:pStyle w:val="TableParagraph"/>
              <w:ind w:lef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460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0B5517" w:rsidP="002A2F9F">
            <w:pPr>
              <w:pStyle w:val="TableParagraph"/>
              <w:spacing w:line="240" w:lineRule="auto"/>
              <w:ind w:left="108" w:right="111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Сыворотка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клинико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химического</w:t>
            </w:r>
            <w:r w:rsidRPr="000B5517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</w:t>
            </w:r>
            <w:r w:rsidRPr="000B551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качества</w:t>
            </w:r>
            <w:r w:rsidRPr="000B551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Уровень</w:t>
            </w:r>
            <w:r w:rsidRPr="000B551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55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(Clinical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Chemical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Quality</w:t>
            </w:r>
            <w:r w:rsidRPr="000B55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Control Serum</w:t>
            </w:r>
            <w:r w:rsidRPr="000B551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076" w:type="dxa"/>
            <w:tcBorders>
              <w:bottom w:val="double" w:sz="1" w:space="0" w:color="000000"/>
              <w:right w:val="single" w:sz="4" w:space="0" w:color="auto"/>
            </w:tcBorders>
            <w:vAlign w:val="center"/>
          </w:tcPr>
          <w:p w:rsidR="000B5517" w:rsidRPr="000B5517" w:rsidRDefault="000B5517" w:rsidP="0098727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набор</w:t>
            </w:r>
            <w:proofErr w:type="spellEnd"/>
          </w:p>
        </w:tc>
        <w:tc>
          <w:tcPr>
            <w:tcW w:w="6662" w:type="dxa"/>
            <w:tcBorders>
              <w:bottom w:val="double" w:sz="1" w:space="0" w:color="000000"/>
            </w:tcBorders>
          </w:tcPr>
          <w:p w:rsidR="000B5517" w:rsidRPr="000B5517" w:rsidRDefault="000B5517" w:rsidP="002A2F9F">
            <w:pPr>
              <w:pStyle w:val="TableParagraph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Контрольный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Сыворотка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биохимических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2 ",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лиофилизованный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препарат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светло-желтого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светло-кремового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цвета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точности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воспроизводимости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биохимическом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анализаторе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CS-T240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следующих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:  ALB, ALP, ALT, AMY, AST, BUN, UREA,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-CPC,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-ARS, CHE, CK, CL, CO2, CRE, CRE-ENZYME, D-BIL, D-BIL-V, GGT, GLDH, GLU-HK, GLU-OX, HBDH, K, LAP, LDH, Mg-XB, Na, P-AMY, PHOS, TB, TB-V, TBA, TC, TG, TP, UA,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Zn,Fe,TIBC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. ACP.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Фасовка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spellEnd"/>
            <w:r w:rsidRPr="000B5517">
              <w:rPr>
                <w:rFonts w:ascii="Times New Roman" w:hAnsi="Times New Roman" w:cs="Times New Roman"/>
                <w:sz w:val="20"/>
                <w:szCs w:val="20"/>
              </w:rPr>
              <w:t xml:space="preserve"> х 4</w:t>
            </w:r>
          </w:p>
        </w:tc>
        <w:tc>
          <w:tcPr>
            <w:tcW w:w="850" w:type="dxa"/>
            <w:tcBorders>
              <w:bottom w:val="double" w:sz="1" w:space="0" w:color="000000"/>
            </w:tcBorders>
            <w:vAlign w:val="center"/>
          </w:tcPr>
          <w:p w:rsidR="000B5517" w:rsidRPr="000C4EC8" w:rsidRDefault="000C4EC8" w:rsidP="000B0F7E">
            <w:pPr>
              <w:pStyle w:val="TableParagraph"/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vAlign w:val="center"/>
          </w:tcPr>
          <w:p w:rsidR="000B5517" w:rsidRPr="000B5517" w:rsidRDefault="000B5517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0B55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B55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bottom w:val="double" w:sz="1" w:space="0" w:color="000000"/>
            </w:tcBorders>
            <w:vAlign w:val="center"/>
          </w:tcPr>
          <w:p w:rsidR="000B5517" w:rsidRPr="000C4EC8" w:rsidRDefault="000C4EC8" w:rsidP="000B0F7E">
            <w:pPr>
              <w:pStyle w:val="TableParagraph"/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146200</w:t>
            </w:r>
            <w:bookmarkStart w:id="0" w:name="_GoBack"/>
            <w:bookmarkEnd w:id="0"/>
          </w:p>
        </w:tc>
      </w:tr>
    </w:tbl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ул.Асау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</w:t>
      </w:r>
      <w:r w:rsidR="002D412A">
        <w:rPr>
          <w:rFonts w:ascii="Times New Roman" w:hAnsi="Times New Roman" w:cs="Times New Roman"/>
          <w:lang w:val="kk-KZ"/>
        </w:rPr>
        <w:t>П</w:t>
      </w:r>
      <w:r w:rsidR="0033377C" w:rsidRPr="002D412A">
        <w:rPr>
          <w:rFonts w:ascii="Times New Roman" w:hAnsi="Times New Roman" w:cs="Times New Roman"/>
          <w:lang w:val="kk-KZ"/>
        </w:rPr>
        <w:t>о заявке Заказчика до конца 2021 года</w:t>
      </w:r>
      <w:r w:rsidR="001D6E32" w:rsidRPr="002D412A">
        <w:rPr>
          <w:rFonts w:ascii="Times New Roman" w:hAnsi="Times New Roman" w:cs="Times New Roman"/>
          <w:lang w:val="kk-KZ"/>
        </w:rPr>
        <w:t>.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0B5517" w:rsidRDefault="00327383" w:rsidP="00E2347B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F1CDD">
        <w:rPr>
          <w:rFonts w:ascii="Times New Roman" w:hAnsi="Times New Roman" w:cs="Times New Roman"/>
          <w:lang w:val="kk-KZ"/>
        </w:rPr>
        <w:t>13</w:t>
      </w:r>
      <w:r w:rsidRPr="00E2347B">
        <w:rPr>
          <w:rFonts w:ascii="Times New Roman" w:hAnsi="Times New Roman" w:cs="Times New Roman"/>
        </w:rPr>
        <w:t>.</w:t>
      </w:r>
      <w:r w:rsidR="00135FB3">
        <w:rPr>
          <w:rFonts w:ascii="Times New Roman" w:hAnsi="Times New Roman" w:cs="Times New Roman"/>
          <w:lang w:val="kk-KZ"/>
        </w:rPr>
        <w:t>0</w:t>
      </w:r>
      <w:r w:rsidR="00E779BF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</w:t>
      </w:r>
      <w:r w:rsidR="00135FB3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 xml:space="preserve">, </w:t>
      </w:r>
      <w:r w:rsidR="00ED3AA6">
        <w:rPr>
          <w:rFonts w:ascii="Times New Roman" w:hAnsi="Times New Roman" w:cs="Times New Roman"/>
          <w:lang w:val="kk-KZ"/>
        </w:rPr>
        <w:t>1</w:t>
      </w:r>
      <w:r w:rsidR="007C55CC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  <w:lang w:val="kk-KZ"/>
        </w:rPr>
        <w:t>:00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0B5517" w:rsidRDefault="00E2347B" w:rsidP="00E2347B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закупу медицинских изделий и  товаров: 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9E7" w:rsidRPr="00A559E7">
        <w:rPr>
          <w:rFonts w:ascii="Times New Roman" w:hAnsi="Times New Roman"/>
          <w:b/>
          <w:sz w:val="24"/>
          <w:szCs w:val="24"/>
          <w:lang w:val="kk-KZ"/>
        </w:rPr>
        <w:t>2 234 000</w:t>
      </w:r>
      <w:r w:rsidR="001B5723">
        <w:rPr>
          <w:rFonts w:ascii="Times New Roman" w:eastAsia="Batang" w:hAnsi="Times New Roman"/>
          <w:bCs/>
          <w:lang w:val="kk-KZ"/>
        </w:rPr>
        <w:t xml:space="preserve"> </w:t>
      </w:r>
      <w:r w:rsidR="00A910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0B5517" w:rsidSect="002A2F9F">
      <w:pgSz w:w="16838" w:h="11906" w:orient="landscape"/>
      <w:pgMar w:top="850" w:right="0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Foreigner"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45CCE"/>
    <w:rsid w:val="00046D1A"/>
    <w:rsid w:val="00073A65"/>
    <w:rsid w:val="000820C7"/>
    <w:rsid w:val="00082306"/>
    <w:rsid w:val="0008261D"/>
    <w:rsid w:val="000847DA"/>
    <w:rsid w:val="00085191"/>
    <w:rsid w:val="000853A7"/>
    <w:rsid w:val="000B0F7E"/>
    <w:rsid w:val="000B5517"/>
    <w:rsid w:val="000C4EC8"/>
    <w:rsid w:val="000C7E5B"/>
    <w:rsid w:val="000E700C"/>
    <w:rsid w:val="00115894"/>
    <w:rsid w:val="001220BE"/>
    <w:rsid w:val="00131264"/>
    <w:rsid w:val="001314EB"/>
    <w:rsid w:val="00135FB3"/>
    <w:rsid w:val="00142255"/>
    <w:rsid w:val="0014606C"/>
    <w:rsid w:val="00147801"/>
    <w:rsid w:val="00147C31"/>
    <w:rsid w:val="00172D42"/>
    <w:rsid w:val="00190C21"/>
    <w:rsid w:val="00191D43"/>
    <w:rsid w:val="00193615"/>
    <w:rsid w:val="001946DE"/>
    <w:rsid w:val="00195CA2"/>
    <w:rsid w:val="001A74CD"/>
    <w:rsid w:val="001B31C7"/>
    <w:rsid w:val="001B5723"/>
    <w:rsid w:val="001C365A"/>
    <w:rsid w:val="001D6E32"/>
    <w:rsid w:val="001E5393"/>
    <w:rsid w:val="002017F0"/>
    <w:rsid w:val="00201884"/>
    <w:rsid w:val="00204A5B"/>
    <w:rsid w:val="00214B87"/>
    <w:rsid w:val="00227EF6"/>
    <w:rsid w:val="0023114C"/>
    <w:rsid w:val="00255C70"/>
    <w:rsid w:val="0027248B"/>
    <w:rsid w:val="002732B1"/>
    <w:rsid w:val="00285E99"/>
    <w:rsid w:val="00287620"/>
    <w:rsid w:val="0029523C"/>
    <w:rsid w:val="00295333"/>
    <w:rsid w:val="002A2F9F"/>
    <w:rsid w:val="002A6F83"/>
    <w:rsid w:val="002C0DFC"/>
    <w:rsid w:val="002D412A"/>
    <w:rsid w:val="002E2524"/>
    <w:rsid w:val="00314587"/>
    <w:rsid w:val="00327383"/>
    <w:rsid w:val="00332CD7"/>
    <w:rsid w:val="0033377C"/>
    <w:rsid w:val="0034082B"/>
    <w:rsid w:val="00355F8A"/>
    <w:rsid w:val="00357F7F"/>
    <w:rsid w:val="00380DB0"/>
    <w:rsid w:val="0038368E"/>
    <w:rsid w:val="003912F1"/>
    <w:rsid w:val="003958AC"/>
    <w:rsid w:val="003B23B0"/>
    <w:rsid w:val="003B36B9"/>
    <w:rsid w:val="003E55FC"/>
    <w:rsid w:val="003F1CDD"/>
    <w:rsid w:val="00424845"/>
    <w:rsid w:val="00437A22"/>
    <w:rsid w:val="00472BAA"/>
    <w:rsid w:val="00475E18"/>
    <w:rsid w:val="00480942"/>
    <w:rsid w:val="00485905"/>
    <w:rsid w:val="004931B2"/>
    <w:rsid w:val="00493AFA"/>
    <w:rsid w:val="004A2DFB"/>
    <w:rsid w:val="004A55BE"/>
    <w:rsid w:val="004A6B86"/>
    <w:rsid w:val="004D2F30"/>
    <w:rsid w:val="004D4E7A"/>
    <w:rsid w:val="004D6655"/>
    <w:rsid w:val="005027BE"/>
    <w:rsid w:val="00502CA3"/>
    <w:rsid w:val="005139DE"/>
    <w:rsid w:val="00514D56"/>
    <w:rsid w:val="0051650A"/>
    <w:rsid w:val="005317C7"/>
    <w:rsid w:val="005426E4"/>
    <w:rsid w:val="00544066"/>
    <w:rsid w:val="005623FC"/>
    <w:rsid w:val="005636CA"/>
    <w:rsid w:val="00563F27"/>
    <w:rsid w:val="0057155F"/>
    <w:rsid w:val="0058414E"/>
    <w:rsid w:val="0058676C"/>
    <w:rsid w:val="005A059C"/>
    <w:rsid w:val="005A0B92"/>
    <w:rsid w:val="005C5074"/>
    <w:rsid w:val="005E0FDB"/>
    <w:rsid w:val="005F51AC"/>
    <w:rsid w:val="006013CB"/>
    <w:rsid w:val="0061093E"/>
    <w:rsid w:val="00621AEB"/>
    <w:rsid w:val="00623D43"/>
    <w:rsid w:val="006240CF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3D2"/>
    <w:rsid w:val="00742604"/>
    <w:rsid w:val="00754FF6"/>
    <w:rsid w:val="007615F5"/>
    <w:rsid w:val="00763C35"/>
    <w:rsid w:val="007757CA"/>
    <w:rsid w:val="007823ED"/>
    <w:rsid w:val="007B6A74"/>
    <w:rsid w:val="007C55CC"/>
    <w:rsid w:val="007C694C"/>
    <w:rsid w:val="007E0099"/>
    <w:rsid w:val="00822781"/>
    <w:rsid w:val="008402D0"/>
    <w:rsid w:val="008754ED"/>
    <w:rsid w:val="008A1E8F"/>
    <w:rsid w:val="008C4860"/>
    <w:rsid w:val="008D067C"/>
    <w:rsid w:val="008D3C20"/>
    <w:rsid w:val="008D624F"/>
    <w:rsid w:val="008E3BCE"/>
    <w:rsid w:val="008F2D1C"/>
    <w:rsid w:val="009135E6"/>
    <w:rsid w:val="00943933"/>
    <w:rsid w:val="00970BB3"/>
    <w:rsid w:val="00973135"/>
    <w:rsid w:val="0097346E"/>
    <w:rsid w:val="009C3ADF"/>
    <w:rsid w:val="009C4022"/>
    <w:rsid w:val="009C525F"/>
    <w:rsid w:val="009F70F7"/>
    <w:rsid w:val="00A4452D"/>
    <w:rsid w:val="00A46BD4"/>
    <w:rsid w:val="00A53C54"/>
    <w:rsid w:val="00A559E7"/>
    <w:rsid w:val="00A62BC4"/>
    <w:rsid w:val="00A7622E"/>
    <w:rsid w:val="00A767A5"/>
    <w:rsid w:val="00A9011E"/>
    <w:rsid w:val="00A91004"/>
    <w:rsid w:val="00A9539F"/>
    <w:rsid w:val="00A953D3"/>
    <w:rsid w:val="00A96080"/>
    <w:rsid w:val="00AB4CA0"/>
    <w:rsid w:val="00AE7908"/>
    <w:rsid w:val="00AF2C44"/>
    <w:rsid w:val="00B13352"/>
    <w:rsid w:val="00B2149D"/>
    <w:rsid w:val="00B31FDF"/>
    <w:rsid w:val="00B330C3"/>
    <w:rsid w:val="00B53844"/>
    <w:rsid w:val="00B702A8"/>
    <w:rsid w:val="00B74818"/>
    <w:rsid w:val="00B81079"/>
    <w:rsid w:val="00B90264"/>
    <w:rsid w:val="00BA7842"/>
    <w:rsid w:val="00BC13BB"/>
    <w:rsid w:val="00BC7A30"/>
    <w:rsid w:val="00BD6CC4"/>
    <w:rsid w:val="00BE016D"/>
    <w:rsid w:val="00BE419F"/>
    <w:rsid w:val="00BE50B7"/>
    <w:rsid w:val="00BE7ACF"/>
    <w:rsid w:val="00BF09AC"/>
    <w:rsid w:val="00BF5B86"/>
    <w:rsid w:val="00BF7938"/>
    <w:rsid w:val="00C15B85"/>
    <w:rsid w:val="00C515E0"/>
    <w:rsid w:val="00C75233"/>
    <w:rsid w:val="00C75CBC"/>
    <w:rsid w:val="00C75D08"/>
    <w:rsid w:val="00C865A0"/>
    <w:rsid w:val="00CB0414"/>
    <w:rsid w:val="00CB0F64"/>
    <w:rsid w:val="00CC56A7"/>
    <w:rsid w:val="00CC69FF"/>
    <w:rsid w:val="00CD1462"/>
    <w:rsid w:val="00CD77C1"/>
    <w:rsid w:val="00D23E1B"/>
    <w:rsid w:val="00D33AF5"/>
    <w:rsid w:val="00D41216"/>
    <w:rsid w:val="00D574CC"/>
    <w:rsid w:val="00D67B72"/>
    <w:rsid w:val="00D703D0"/>
    <w:rsid w:val="00D74812"/>
    <w:rsid w:val="00D80C27"/>
    <w:rsid w:val="00D858FF"/>
    <w:rsid w:val="00DA5046"/>
    <w:rsid w:val="00DB78D6"/>
    <w:rsid w:val="00DD0335"/>
    <w:rsid w:val="00DD5EE2"/>
    <w:rsid w:val="00DE1025"/>
    <w:rsid w:val="00DE76CF"/>
    <w:rsid w:val="00E2347B"/>
    <w:rsid w:val="00E31135"/>
    <w:rsid w:val="00E537A4"/>
    <w:rsid w:val="00E647C9"/>
    <w:rsid w:val="00E73C9C"/>
    <w:rsid w:val="00E779BF"/>
    <w:rsid w:val="00E82B44"/>
    <w:rsid w:val="00E9650B"/>
    <w:rsid w:val="00EC3219"/>
    <w:rsid w:val="00EC4E13"/>
    <w:rsid w:val="00ED2D3E"/>
    <w:rsid w:val="00ED3AA6"/>
    <w:rsid w:val="00EE4F65"/>
    <w:rsid w:val="00EE58E9"/>
    <w:rsid w:val="00EE66D9"/>
    <w:rsid w:val="00F030F0"/>
    <w:rsid w:val="00F1432A"/>
    <w:rsid w:val="00F224EA"/>
    <w:rsid w:val="00F549B9"/>
    <w:rsid w:val="00F6708A"/>
    <w:rsid w:val="00FA6F56"/>
    <w:rsid w:val="00FA73E6"/>
    <w:rsid w:val="00FB1008"/>
    <w:rsid w:val="00FD0B80"/>
    <w:rsid w:val="00FD2FBE"/>
    <w:rsid w:val="00FE6454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D62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24F"/>
    <w:pPr>
      <w:widowControl w:val="0"/>
      <w:autoSpaceDE w:val="0"/>
      <w:autoSpaceDN w:val="0"/>
      <w:spacing w:after="0" w:line="180" w:lineRule="exact"/>
    </w:pPr>
    <w:rPr>
      <w:rFonts w:ascii="Microsoft Sans Serif" w:eastAsia="Microsoft Sans Serif" w:hAnsi="Microsoft Sans Serif" w:cs="Microsoft Sans Seri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ED2D3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3E55FC"/>
    <w:pPr>
      <w:overflowPunct w:val="0"/>
      <w:autoSpaceDE w:val="0"/>
      <w:autoSpaceDN w:val="0"/>
      <w:adjustRightInd w:val="0"/>
      <w:spacing w:before="40" w:after="0" w:line="240" w:lineRule="auto"/>
      <w:jc w:val="center"/>
      <w:textAlignment w:val="baseline"/>
    </w:pPr>
    <w:rPr>
      <w:rFonts w:ascii="AGForeigner" w:eastAsia="Times New Roman" w:hAnsi="AGForeigner" w:cs="Times New Roman"/>
      <w:b/>
      <w:spacing w:val="4"/>
      <w:sz w:val="20"/>
      <w:szCs w:val="20"/>
    </w:rPr>
  </w:style>
  <w:style w:type="character" w:customStyle="1" w:styleId="a5">
    <w:name w:val="Основной текст Знак"/>
    <w:basedOn w:val="a0"/>
    <w:link w:val="a4"/>
    <w:rsid w:val="003E55FC"/>
    <w:rPr>
      <w:rFonts w:ascii="AGForeigner" w:eastAsia="Times New Roman" w:hAnsi="AGForeigner" w:cs="Times New Roman"/>
      <w:b/>
      <w:spacing w:val="4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D624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624F"/>
    <w:pPr>
      <w:widowControl w:val="0"/>
      <w:autoSpaceDE w:val="0"/>
      <w:autoSpaceDN w:val="0"/>
      <w:spacing w:after="0" w:line="180" w:lineRule="exact"/>
    </w:pPr>
    <w:rPr>
      <w:rFonts w:ascii="Microsoft Sans Serif" w:eastAsia="Microsoft Sans Serif" w:hAnsi="Microsoft Sans Serif" w:cs="Microsoft Sans Seri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5FA9-6BA4-4CC3-BE03-80C98BFC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</cp:revision>
  <cp:lastPrinted>2021-05-06T07:12:00Z</cp:lastPrinted>
  <dcterms:created xsi:type="dcterms:W3CDTF">2021-05-06T10:27:00Z</dcterms:created>
  <dcterms:modified xsi:type="dcterms:W3CDTF">2021-05-06T10:51:00Z</dcterms:modified>
</cp:coreProperties>
</file>