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28" w:rsidRDefault="004E7B28" w:rsidP="00B718C4">
      <w:pPr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</w:t>
      </w:r>
      <w:r w:rsidR="001F59EA">
        <w:rPr>
          <w:rFonts w:ascii="Times New Roman" w:hAnsi="Times New Roman" w:cs="Times New Roman"/>
          <w:b/>
          <w:lang w:val="kk-KZ"/>
        </w:rPr>
        <w:t xml:space="preserve">              </w:t>
      </w:r>
      <w:r w:rsidR="00AF37C2">
        <w:rPr>
          <w:rFonts w:ascii="Times New Roman" w:hAnsi="Times New Roman" w:cs="Times New Roman"/>
          <w:b/>
          <w:lang w:val="kk-KZ"/>
        </w:rPr>
        <w:t xml:space="preserve">               </w:t>
      </w:r>
      <w:r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4E7B28" w:rsidRDefault="004E7B28" w:rsidP="0043562F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Организатор закупа: </w:t>
      </w:r>
      <w:r>
        <w:rPr>
          <w:rFonts w:ascii="Times New Roman" w:hAnsi="Times New Roman" w:cs="Times New Roman"/>
        </w:rPr>
        <w:t xml:space="preserve">ГКП </w:t>
      </w:r>
      <w:proofErr w:type="spellStart"/>
      <w:r>
        <w:rPr>
          <w:rFonts w:ascii="Times New Roman" w:hAnsi="Times New Roman" w:cs="Times New Roman"/>
        </w:rPr>
        <w:t>Байганинская</w:t>
      </w:r>
      <w:proofErr w:type="spellEnd"/>
      <w:r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>
        <w:rPr>
          <w:rFonts w:ascii="Times New Roman" w:hAnsi="Times New Roman" w:cs="Times New Roman"/>
        </w:rPr>
        <w:t>Байганинский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Карау</w:t>
      </w:r>
      <w:proofErr w:type="spellEnd"/>
      <w:r>
        <w:rPr>
          <w:rFonts w:ascii="Times New Roman" w:hAnsi="Times New Roman" w:cs="Times New Roman"/>
          <w:lang w:val="kk-KZ"/>
        </w:rPr>
        <w:t>ылк</w:t>
      </w:r>
      <w:proofErr w:type="spellStart"/>
      <w:r>
        <w:rPr>
          <w:rFonts w:ascii="Times New Roman" w:hAnsi="Times New Roman" w:cs="Times New Roman"/>
        </w:rPr>
        <w:t>елды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сау</w:t>
      </w:r>
      <w:proofErr w:type="spellEnd"/>
      <w:r>
        <w:rPr>
          <w:rFonts w:ascii="Times New Roman" w:hAnsi="Times New Roman" w:cs="Times New Roman"/>
        </w:rPr>
        <w:t xml:space="preserve"> батыра,</w:t>
      </w:r>
      <w:r>
        <w:rPr>
          <w:rFonts w:ascii="Times New Roman" w:hAnsi="Times New Roman" w:cs="Times New Roman"/>
          <w:lang w:val="kk-KZ"/>
        </w:rPr>
        <w:t xml:space="preserve"> дом </w:t>
      </w: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br/>
        <w:t xml:space="preserve">          Международные непатентованные наименования закупаемых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W w:w="16160" w:type="dxa"/>
        <w:tblInd w:w="-459" w:type="dxa"/>
        <w:tblLook w:val="04A0" w:firstRow="1" w:lastRow="0" w:firstColumn="1" w:lastColumn="0" w:noHBand="0" w:noVBand="1"/>
      </w:tblPr>
      <w:tblGrid>
        <w:gridCol w:w="715"/>
        <w:gridCol w:w="3822"/>
        <w:gridCol w:w="1050"/>
        <w:gridCol w:w="874"/>
        <w:gridCol w:w="1478"/>
        <w:gridCol w:w="1418"/>
        <w:gridCol w:w="6803"/>
      </w:tblGrid>
      <w:tr w:rsidR="00B718C4" w:rsidRPr="00C5704B" w:rsidTr="0043562F">
        <w:trPr>
          <w:trHeight w:val="17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04B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к-во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Цена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18C4" w:rsidRPr="00C5704B" w:rsidTr="0043562F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CS-T240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Аланинаминотрансфераза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Alanine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Aminotransferase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- ALT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C22B3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A029E3" w:rsidP="00A0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52260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8C4" w:rsidRPr="00B47188" w:rsidRDefault="00B718C4" w:rsidP="00B718C4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Реагент применяется для количественного измерения и диагностического определения в условиях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in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vitro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активности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аланинаминотрансферазы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(АЛТ) в сыворотке или плазме крови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CS-T240. Принцип реакции данного реагента соответствует методу, рекомендованному Международной Федерацией </w:t>
            </w:r>
            <w:proofErr w:type="spellStart"/>
            <w:proofErr w:type="gramStart"/>
            <w:r w:rsidRPr="00B47188">
              <w:rPr>
                <w:color w:val="000000"/>
                <w:sz w:val="12"/>
                <w:szCs w:val="12"/>
              </w:rPr>
              <w:t>Клиничес</w:t>
            </w:r>
            <w:proofErr w:type="spellEnd"/>
            <w:r w:rsidR="00C06256" w:rsidRPr="00B47188">
              <w:rPr>
                <w:color w:val="000000"/>
                <w:sz w:val="12"/>
                <w:szCs w:val="12"/>
                <w:lang w:val="kk-KZ"/>
              </w:rPr>
              <w:t xml:space="preserve"> </w:t>
            </w:r>
            <w:r w:rsidRPr="00B47188">
              <w:rPr>
                <w:color w:val="000000"/>
                <w:sz w:val="12"/>
                <w:szCs w:val="12"/>
              </w:rPr>
              <w:t>кой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Химии (IFCC). В присутствии АЛТ L-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аланин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вступает в реакцию с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α-</w:t>
            </w:r>
            <w:proofErr w:type="spellStart"/>
            <w:proofErr w:type="gramEnd"/>
            <w:r w:rsidRPr="00B47188">
              <w:rPr>
                <w:color w:val="000000"/>
                <w:sz w:val="12"/>
                <w:szCs w:val="12"/>
              </w:rPr>
              <w:t>кетоглутаратом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, в результате чего образуется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пируват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и L-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глутамат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proofErr w:type="gramStart"/>
            <w:r w:rsidRPr="00B47188">
              <w:rPr>
                <w:color w:val="000000"/>
                <w:sz w:val="12"/>
                <w:szCs w:val="12"/>
              </w:rPr>
              <w:t>Пируват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восстанавливается до L-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лактата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при помощи ЛДГ, присутствующей в реагенте, а тем временем НАДН окисляется до НАД, что позволяет снизить значение абсорбции до 340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нм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Активность АЛТ можно проверить за счет измерения скорости снижения абсорбции при 340нм.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Эндогенетический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пируват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образца восстанавливается ЛДГ во время периода задержки реакции, таким образом, чтобы он не создавал помех для теста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Компоненты: Реагент 1 -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Аланин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600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ЛДГ &gt;1820ЕД/Л;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Трис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Буфер 80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/л. Реагент 2 -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Трис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Буфер 80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НАДН &gt;0.75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α-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кетоглутарат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36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/л. Содержит нереакционный материал и стабилизатор. Время проведения теста 60-120 секунд. Объем R1-240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Объем R2-60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 Объем образца-15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.Количество тестов в упаковке не более 587. Калибровка реагента проводится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мультикалибраторе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Контроль реагента проводится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мультиконтроле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Уровень 1 и 2. Линейный диапазон: 4-1000 </w:t>
            </w:r>
            <w:proofErr w:type="spellStart"/>
            <w:proofErr w:type="gramStart"/>
            <w:r w:rsidRPr="00B47188">
              <w:rPr>
                <w:color w:val="000000"/>
                <w:sz w:val="12"/>
                <w:szCs w:val="12"/>
              </w:rPr>
              <w:t>ед</w:t>
            </w:r>
            <w:proofErr w:type="spellEnd"/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/л .Реагенты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Аспартатаминотрансфераза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Aspartate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Aminotransferase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- AST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C22B3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A029E3" w:rsidP="00A0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52260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256" w:rsidRPr="00B47188" w:rsidRDefault="00C06256" w:rsidP="00C06256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Реагент применяется для количественного измерения и диагностического определения в условиях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in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vitro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активности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аспартатаминотрансферазы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(АСТ) в сыворотке или плазме крови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CS-T240. Принцип реакции данного реагента соответствует методу, рекомендованному Международной Федерацией Клинической Химии (IFCC).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Аспартатаминотрансфераза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(АСТ) в образце катализирует L-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аспартат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aминo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-,что приводит к преобразованию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α-</w:t>
            </w:r>
            <w:proofErr w:type="spellStart"/>
            <w:proofErr w:type="gramEnd"/>
            <w:r w:rsidRPr="00B47188">
              <w:rPr>
                <w:color w:val="000000"/>
                <w:sz w:val="12"/>
                <w:szCs w:val="12"/>
              </w:rPr>
              <w:t>кетоглутарата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в эфир уксусной кислоты и L-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глутамат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. Эфир уксусной кислоты восстанавливается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малатдегидрогеназой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в реагенте до L-яблочной кислоты.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В это время НАДН окисляется до НАД, так что значение абсорбции света при 340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нм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снижается.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При контроле скорости снижения значения абсорбции при 340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нм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, измеряют активность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аспартата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аминотрансферазы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(АСТ).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Помехи эндогенного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пирувата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могут быть удалены быстро и полностью во время запаздывания.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Компоненты: Реагент 1 -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Лактат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дегидрогеназа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&gt;1365 ЕД/Л; L-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аспартат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300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Трис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Буфер &gt;80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ЭДТА 5.0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Трис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Буфер &gt;80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/л. Реагент 2 -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Малат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дегидрогеназа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&gt;1635 ЕД/Л; α-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кетоглутарат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36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НАДН &gt;0.75ммоль/л;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Трис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Буфер &gt;80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ЭДТА 5.0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л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.С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>одержит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нереакционный материал и стабилизатор. Время проведения теста 120~180 секунд. Объем R1-240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Объем R2-60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.Объем образца-15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.Количество тестов в упаковке не более 587. Калибровка реагента проводится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мультикалибраторе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Контроль реагента проводится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мультиконтроле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Уровень 1 и 2. Линейный диапазон настоящего регента составляет 3 ~ 1000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ЕД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>/Л.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В закуп товара входит сопутствующая услуга: выезд </w:t>
            </w:r>
            <w:r w:rsidRPr="00B47188">
              <w:rPr>
                <w:color w:val="000000"/>
                <w:sz w:val="12"/>
                <w:szCs w:val="12"/>
              </w:rPr>
              <w:lastRenderedPageBreak/>
              <w:t>сертифицированного специалиста для адаптации реагента.</w:t>
            </w:r>
          </w:p>
          <w:p w:rsidR="00B718C4" w:rsidRPr="00B47188" w:rsidRDefault="00B718C4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Щелочная</w:t>
            </w: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фосфатаза</w:t>
            </w: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Alkanine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Phosphatase) - ALP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C22B3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A029E3" w:rsidRDefault="00A029E3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52260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256" w:rsidRPr="00B47188" w:rsidRDefault="00C06256" w:rsidP="00C06256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Реагент применяется для количественного измерения в условиях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in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vitro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активности щелочной фосфатазы (ALP) в сыворотке или плазме крови человека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CS-T240. Щелочная фосфатаза в образце катализирует гидролиз RNPP для формирования P-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нитрофенолата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и фосфатной кислоты, что вызывает повышение значения абсорбции света при 405нм. Активность щелочного фосфата образца рассчитывается при измерении скорости повышения абсорбционной способности при 405нм. Компоненты: Реагент 1 - Магния ацетат 3.0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Цинка сульфат 1.5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ХЭДТА 3.0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Буфер AMP 420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/л. Реагент 2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: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p-нитробензол фосфатная кислота 81.5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Буфер AMP 420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/л. Содержит нереактивный заполнитель и стабилизатор. Время проведения теста 60~120 секунд. Объем R1-200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Объем R2-50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.Объем образца-4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.Количество тестов в упаковке не более 671. Калибровка реагента проводится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мультикалибраторе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Контроль реагента проводится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мультиконтроле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Уровень 1 и 2. Линейный диапазон настоящего реагента – 0~850 </w:t>
            </w:r>
            <w:proofErr w:type="spellStart"/>
            <w:proofErr w:type="gramStart"/>
            <w:r w:rsidRPr="00B47188">
              <w:rPr>
                <w:color w:val="000000"/>
                <w:sz w:val="12"/>
                <w:szCs w:val="12"/>
              </w:rPr>
              <w:t>ед</w:t>
            </w:r>
            <w:proofErr w:type="spellEnd"/>
            <w:proofErr w:type="gramEnd"/>
            <w:r w:rsidRPr="00B47188">
              <w:rPr>
                <w:color w:val="000000"/>
                <w:sz w:val="12"/>
                <w:szCs w:val="12"/>
              </w:rPr>
              <w:t>/л.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В закуп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Альбумин (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Albumin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- ALB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C22B3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A029E3" w:rsidP="00A0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31460</w:t>
            </w:r>
            <w:r w:rsidR="00B718C4"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5FB" w:rsidRPr="00B47188" w:rsidRDefault="009065FB" w:rsidP="009065FB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Реагент применяется для количественного измерения в условиях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in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vitro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концентрации альбумина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( 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ALB )  в сыворотке или плазме крови человека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CS-T240.  Используемый метод анализа альбумина в сыворотке крови – это метод связывания красителя лизина (DBL). Технология DBL основывается на переносе крупнейшего пика абсорбции при связывании красителя с альбумином. Перенос пика абсорбции позволяет измерить образующийся цвет в обстоятельствах существования чрезмерного окрашивания. Точность обеспечивается за счет наличия совместной способности между красителем и альбумином, что полностью интегрирует альбумин в реакцию. Использование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бромкрезолового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зеленого и альбумина при pH4.0~4.2 вызывает образование зеленовато-синей комбинации, которая находится в прямой зависимости от концентрации альбумина в образце. Концентрация альбумина может быть рассчитана при измерении значения абсорбции при 580-630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нм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. При использовании двойного луча света длина холостой волны может быть установлена на 600~700нм. Компоненты: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Бромгексоловый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зеленый 0.35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Буфер янтарной кислоты 50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Натрия азид 7.7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Brij-35 1%.  Время проведения теста 300 сек. Объем R1-300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Объем образца- 2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 Количество тестов в упаковке не более 734.  Калибратор в наборе. Калибровка  реагента проводится также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мультикалибраторе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Контроль реагента  проводится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мультиконтроле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уровень 1 и 2. Калибратор  и контроль от завода производителя с паспортными значениями контрольного материала и калибратор с целевым  значением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Линейный диапазон настоящего реагента составляет 0-60 г/л(6 г/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дл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).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 Есть дополнительные услуги : выезд сертифицированного специалиста для  адаптации реагента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</w:p>
          <w:p w:rsidR="00B718C4" w:rsidRPr="00B47188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Креатинин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энзиматический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Creatinine-Enzime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- CRE-E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C22B3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A029E3" w:rsidRDefault="00A029E3" w:rsidP="00CF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285912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6A37" w:rsidRPr="00B47188" w:rsidRDefault="00E46A37" w:rsidP="00E46A37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Реагент применяется для количественного измерения в условиях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in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vitro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концентрации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креатинина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( 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CRE-E) в сыворотке, плазме крови или моче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 T240. Креатин может образовываться при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гидролизации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амидо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с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гидролазой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в образце. Креатин может быть гидролизован под действием креатин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амидин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гидролазы и образовывать мочевину 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саркозин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. Под воздействием оксидазы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саркозина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креатинин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может образовывать глицин и пероксид водорода, который вступает в реакцию с 4 –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аминоантипирином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хромогеновыми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соединениями под воздействием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пероксидазы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, и образует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пигментхинонимин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. Впоследствии содержание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креатинина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в образце может быть рассчитано посредством контроля образованного объема пигмента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хинонимина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на определенной точке длины волны. Компоненты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: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R 1 -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Трис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буфер 100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/л ; N-этил-N-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сульфо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гидроксипропил-интер-толуидин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2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 ;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KCl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20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л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;К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>реатинин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амидо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гидролаза 400 KЕД/Л ;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Саркозин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оксидаза 8 KЕД/ЛHRP 700 ЕД/Л . R 2 -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Трис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буфер 100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 ;Магния ацетат 2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 ; 4 -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аминоантипирин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1.2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 ; Креатин гидролаза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амидин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40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KЕд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/Л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При длине волны 540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нм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 Время проведение теста 300 секунд . Объем R1-240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.Объем R2-60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.Объем образца-7,5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.Количество тестов в упаковке не более 587. Калибровка в наборе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Калибровка реагента проводится также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мультикалибраторе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 Контроль реагента проводится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мультиконтроле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Уровень 1 и 2. Линейный диапазон настоящего реагента составляет 0 ~ 2500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/л.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</w:t>
            </w:r>
            <w:r w:rsidRPr="00B47188">
              <w:rPr>
                <w:color w:val="000000"/>
                <w:sz w:val="12"/>
                <w:szCs w:val="12"/>
              </w:rPr>
              <w:lastRenderedPageBreak/>
              <w:t>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F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С-реактивный</w:t>
            </w:r>
            <w:proofErr w:type="gram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белок (C-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Reactive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Protein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- CRP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C22B3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306 374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A029E3" w:rsidP="00A0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612748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E5E" w:rsidRPr="00B47188" w:rsidRDefault="00482E5E" w:rsidP="00482E5E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Реагент применяется для количественного измерения в условиях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in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vitro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концентрации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С-реактивного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белка (CRP) в сыворотке крови человека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CS-T240. Используют латексную частицу, которая сенсибилизируется антителом против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С-реактивного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белка человека. Латексные частицы сталкиваются с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С-реактивным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белком в образце жидкости и образуют нерастворимый комплекс антиген-антитело и определенную мутность. Уровень мутности отражает уровень C-реактивного белка в образце по сравнению с калибратором, обработанным аналогичным образом, поэтому можно рассчитать концентрацию C-реактивного белка в образце. Реагенты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: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R1-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Трис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Буфер 20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/л. R2 - Антитело против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С-реактивного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белка человека соответствующее количество. Основная длина волны 546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нм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Время проведения теста2 минуты. Объем R1 - 350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Объем R2 - 40мкл . Объем образца 2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 Режим анализа определение по двум точкам . Количество тестов в упаковке не более 350. Калибратор в наборе. Контроль реагента проводится на контроле для специфических белков Уровень 1и 2 . Линейный диапазон настоящего реагента – 0 -0,80 мг/л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</w:t>
            </w: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белок</w:t>
            </w: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(Total Protein) - TP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C22B3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A029E3" w:rsidP="00A0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36884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A11" w:rsidRPr="00B47188" w:rsidRDefault="00206A11" w:rsidP="00206A11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Реагент применяется для количественного измерения в условиях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invitro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концентрации общего белка (TP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)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в сыворотке или плазме крови человека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CS-T240. В настоящем реагенте используется метод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биуретовой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реакции,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т.е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.п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>ри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реакции между пептидной связью молекулы белка и ионом меди образуется сине-пурпурный комплекс в щелочном растворе. Каждый ион меди образует комплекс с 5-6 пептидной связью. Добавление йодида в реагент может предотвратить автоматическую реверсию соединения меди. Сине-пурпурный пигмент находится в прямой пропорции к концентрации общего белка, которую можно рассчитать за счет измерения изменений абсорбции при 520~560нм. При использовании двухлучевого анализа длина волны холостого раствора должна быть установлена на 600~700нм. Компоненты: Сульфат меди 12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Виннокислый калий-натрий 64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Калия йодид 6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Натрия гидроксид 200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/л. Время проведения реакции 300 секунд. Объем R1-250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. Объем образца-5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Количество тестов в упаковке не более 870 . Калибратор в наборе. Калибровка реагента проводится также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мультикалибраторе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Контроль реагента проводится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мультиконтроле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Уровень 1 и 2 . Линейный диапазон настоящего реагента – 0-150 г/л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Расстояние между дном флакона и штрих кодом должно соответствовать диапазону 15мм-25мм.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билирубин (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Bilirubin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–TB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C22B3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A029E3" w:rsidRDefault="00A029E3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71950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F8A" w:rsidRPr="00B47188" w:rsidRDefault="00475F8A" w:rsidP="00475F8A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Реагент применяется для количественного измерения в условиях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in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vitro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концентрации общего билирубина (TB) в сыворотке или плазме крови человека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CS-T240. В реагенте используется ПАВ в качестве растворителя. Связанный билирубин и несвязанный билирубин, которые были растворены, вступают в реакцию с диазо-сульфаниловой кислотой, в результате чего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образуетсяазо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-билирубин. Повышение абсорбции света при длине волны 570нм пропорционально концентрации общего билирубина. Концентрация общего билирубина в образце может быть рассчитана за счет проверки изменения абсорбции на длине волны 570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нм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. При анализе двойного луча длина волны холостого образца должна быть настроена на длине волны 750нм. Компоненты: R1 - Соляная кислота 100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сульфаниловая кислота 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/л. R2 - Нитрит натрия 72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/л. Время проведения теста 300-600 секунд. Объем R1-250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Объем образца-25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 Количество тестов в упаковке не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болеее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1068. .Калибратор в наборе. Калибровка реагента проводится также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мультикалибраторе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Контроль реагента проводится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мультиконтроле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Уровень 1 и 2 . Линейный диапазон настоящего реагента – 0~300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/л.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Прямой</w:t>
            </w: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билирубин</w:t>
            </w: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(Direct Bilirubin) - DB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C22B3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A029E3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71950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638" w:rsidRPr="00B47188" w:rsidRDefault="00077638" w:rsidP="00077638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Реагент применяется для количественного измерения в условиях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in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vitro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концентрации прямого билирубина (DB) в сыворотке или плазме крови человека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CS-T240. Прямой билирубин получают при реакции билирубина и соли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диазония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с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аминобензол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сульфониевой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кислотой в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гиперщелочных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гиперкислых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растворах, в результате чего образуется окрашенный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азо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-билирубин. Повышение абсорбции света при длине волны 570нм пропорционально концентрации прямого билирубина. Концентрация прямого билирубина в образце может быть рассчитана за счет проверки изменения абсорбции на длине волны 570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нм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. Компоненты: R 1 -Соляная кислота 165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Метаниловая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кислота 29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/л. R 2- Нитрит натрия 72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/л. Длина волны 570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нм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Объем R1-250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.Объем образца 25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 Диапазон абсорбционной способности 0-2A. Время проведения теста 300 секунд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Количество тестов в упаковке не более 1068. .Калибратор в наборе. Калибровка реагента проводится также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мультикалибраторе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Контроль реагента проводится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мультиконтроле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Уровень 1 и 2. Линейный диапазон настоящего реагента – 0~300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/л.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Мочевина (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Urea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- UREA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C22B3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D741E5" w:rsidRDefault="00D741E5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99504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638" w:rsidRPr="00B47188" w:rsidRDefault="00077638" w:rsidP="00077638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Реагент применяется для количественного измерения в условиях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in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vitro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концентрации мочевины (UREA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)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в сыворотке крови, плазме или моче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CS-T240. Мочевина в образце, катализированная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уреазой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в реагенте, вступает в реакцию с водой, в результате чего образуется аммиак и диоксид углерода. Аммиак и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α-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кетоглутаровая кислота в реагенте при катализе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глутамата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дегидрогеназы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(ГЛДГ) образуют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глутамовую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кислоту, при этом NADH окисляется до NAD . Таким образом, абсорбция света на 340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нм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снижается. Контроль уровня снижения абсорбции света при 340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нм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позволяет рассчитать концентрацию мочевины в образце. Компоненты: R1 - α-кетоглутаровая кислота 7.5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Глутамат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дегидрогеназа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&gt;800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ЕД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/Л; NADH 0.35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Аденозин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дифосфат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1.5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Трис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буфер 115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/л. R 2 -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Трис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Буфер 115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Уреаза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&gt; 40000 ЕД/Л; α-кетоглутаровая кислота 7.5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/л. Время проведения теста 60 секунд. Объем R1-240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Объем R2-60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.Объем образца-3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 Количество тестов в упаковке не более 587. Калибратор в наборе. Калибровка реагента проводится также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мультикалибраторе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Контроль реагента проводится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мультиконтроле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Уровень 1 и 2. Линейный диапазон настоящего реагента – 0-35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/л (азот мочевины 98 мг/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дл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)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.Р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Мочевая кислота (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Uric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Acid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- UA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C22B3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D741E5" w:rsidRDefault="00D741E5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83746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638" w:rsidRPr="00B47188" w:rsidRDefault="00077638" w:rsidP="00077638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Реагент применяется для количественного измерения в условиях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in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vitro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концентрации мочевой кислоты (UA) в сыворотке крови или моче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При катализе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урата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оксидазы мочевая кислота в образце преобразуется в мочевую кислоту и пероксид водорода, под воздействием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пероксидазы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периксид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водорода вступает в реакцию с анилиновым красителем оригинального материала и 4-амино антипирина, в результате чего образуется вода 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хинониминовый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пигмент, объем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хинониминового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пигмента пропорционален содержанию мочевой кислоты в образце, поэтому концентрация мочевой кислоты в образце может быть рассчитана при анализе объема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пигмента при определенной длине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волны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.К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>омпоненты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: R1 -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Пероксидаза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300ЕД/Л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;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3-бромо-бензойная кислота 2.5ммоль/л; Калия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ферроцианид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0.05ммоль/л; Буфер 150ммоль/л ; 4-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аминоантипирин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0.7ммоль/л. R2 - Буфер 150ммоль/л;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Уриказа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500ЕД/Л. Время проведение теста 5 минут. Основная длина волны 520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нм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Объем R1-200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.Объем R2-50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.Объем образца-4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.Количество тестов в упаковке не более 671. Калибратор в наборе. Калибровка реагента проводится также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мультикалибраторе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Контроль реагента проводится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мультиконтроле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Уровень 1 и 2 . Линейный диапазон настоящего реагента составляет 0-1,5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/л (25 мг/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дм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) .Реагенты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</w:t>
            </w: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холестерин</w:t>
            </w: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(Total Cholesterol)- TC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C22B3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D741E5" w:rsidRDefault="00D741E5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125648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638" w:rsidRPr="00B47188" w:rsidRDefault="00077638" w:rsidP="00077638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Реагент применяется для количественного измерения в условиях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in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vitro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концентрации общего холестерина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( 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TC ) в сыворотке или плазме человека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CS-T240. Холестериновый эфир в образце под воздействием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липопртеинэстеразы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в реагенте селективно катализируется 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гидролизуется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в холестерин и свободную жирную кислоту. Образующийся в результате общий холестерин, окисляемый оксидазой холестерина, формирует холест-4-ен-3-ен-3-кетон и пероксид водорода. Под воздействием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пероксидазы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периоксид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водорода вступает в реакцию с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гидроксибензойной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кислотой и 4-амино-антипирином с образованием H2O 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хинониминового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пигмента. При этом объем образующегося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хинониминового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пигмента пропорционален содержанию общего холестерина в образце. Поэтому измерение образуемого объема пигмента на </w:t>
            </w:r>
            <w:r w:rsidRPr="00B47188">
              <w:rPr>
                <w:color w:val="000000"/>
                <w:sz w:val="12"/>
                <w:szCs w:val="12"/>
              </w:rPr>
              <w:lastRenderedPageBreak/>
              <w:t xml:space="preserve">определенной длине волны позволяет рассчитать концентрацию общего холестерина. Компоненты: R 1 -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Липопротеинлипаза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&gt; 300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ЕД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/Л;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Пероксидаза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&gt; 750 ЕД/Л; p-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гидроксибензойная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кислота 45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Тритон X-100 0.3%; Буфер 50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/л. R 2 - 4аминоантипирн 0.3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Холестериноксидаза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&gt; 300 ЕД/Л; Буфер 50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/л. Время проведение теста 5~10 минут. Объем R1-240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Объем R2-60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.Объем образца-15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 Количество тестов в упаковке не более 587. .Калибратор в наборе. Калибровка реагента проводится также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мультикалибраторе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Контроль реагента проводится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мультиконтроле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Уровень 1 и 2. Линейный диапазон настоящего реагента – 0-20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/л (774 мг/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дл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).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Глюкоза </w:t>
            </w:r>
            <w:proofErr w:type="gram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</w:t>
            </w:r>
            <w:proofErr w:type="gram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ксидаза (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Glucose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Oxidase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- GLU-OX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C22B3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D741E5" w:rsidRDefault="00D741E5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41872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638" w:rsidRPr="00B47188" w:rsidRDefault="00077638" w:rsidP="00077638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Реагент применяется для количественного определения в условиях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in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vitro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концентрации глюкозы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( 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GLU-OX), содержащейся в сыворотке, плазме крови или моче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CS-T240. Глюкоза в образце при активации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глюкозооксидазы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(GID) реагента, образует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глюконовую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кислоту и пероксид водорода. При наличии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пероксидазы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(POD) пероксид водорода вступает в реакцию с анилиновым красителем оригинального материала и 4-аминоантипирином, в результате чего образуется H2O 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хинониминовый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пигмент, образовавшийся объем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хинониминового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пигмента пропорционален содержанию глюкозы в образце. Расчет концентрации глюкозы в образце осуществляется за счет измерения окончательного объема пигмента при определенной длине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волны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.К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>омпоненты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: R 1 -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Пероксидаза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375 </w:t>
            </w:r>
            <w:proofErr w:type="spellStart"/>
            <w:proofErr w:type="gramStart"/>
            <w:r w:rsidRPr="00B47188">
              <w:rPr>
                <w:color w:val="000000"/>
                <w:sz w:val="12"/>
                <w:szCs w:val="12"/>
              </w:rPr>
              <w:t>ед</w:t>
            </w:r>
            <w:proofErr w:type="spellEnd"/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/л;4-гидроксибензоат 15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4-аминоантипирин 0.75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л;PBS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110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/л. R 2-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Глюкозооксидаза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6 кед/л; PBS 110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/л. Содержит нереакционный материал и стабилизатор. Время проведения теста 300~600 секунд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Объем R1-240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.Объем R2-60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.Объем образца-2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 Количество тестов в упаковке не более  587.Калибратор в наборе. Калибровка  реагента проводится также  на  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мультикалибраторе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Контроль реагента  проводится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мультиконтроле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Уровень 1 и 2 . Линейный диапазон составляет 0-40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на л (720мг/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дл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) .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Железо (FERUM) -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C22B3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67 664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D741E5" w:rsidRDefault="00D741E5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135328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638" w:rsidRPr="00B47188" w:rsidRDefault="00077638" w:rsidP="00077638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Реагент применяется для лабораторного квантитативного обнаружения содержания железа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( </w:t>
            </w:r>
            <w:proofErr w:type="spellStart"/>
            <w:proofErr w:type="gramEnd"/>
            <w:r w:rsidRPr="00B47188">
              <w:rPr>
                <w:color w:val="000000"/>
                <w:sz w:val="12"/>
                <w:szCs w:val="12"/>
              </w:rPr>
              <w:t>Fe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)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всыворотке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крови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CS-T240. В кислотных условиях,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сыворотное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железо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Fe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разлагается на составные части; ионы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Fe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ion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реагируют на химический реагент и хромогенный реагент, формируя смесь голубого цвета; при 600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нм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, измеряется изменение абсорбции; оно прямо пропорционально концентрации железа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Fe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.Реагенты: R1- Этиловая кислотная смесь - 200ммоль/л ;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Сульфокарбамид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-42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 . R2 -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хлоргидрат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гидроксиламина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-200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/л;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Ferene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-2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/л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Время проведения теста 300сек . Объем R1-200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 Объем R2-40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 Объем образца-20мкл . Количество тестов в упаковке не более 633. Калибровка реагента проводится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мультикалибраторе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Контроль реагента проводится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мультиконтроле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Уровень 1 и 2 . Линейный диапазон: 5μмоль/л—120μмоль/л .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80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Амилаза (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Amylase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- AMY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C22B3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376 412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D741E5" w:rsidRDefault="00D741E5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752824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638" w:rsidRPr="00B47188" w:rsidRDefault="00077638" w:rsidP="00077638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Реагент применяется для лабораторного квантитативного определения активности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ɑ-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амилаза (AMY) в сыворотке крови человека или моче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CS-T240. Данный реагент действует методу, рекомендованному Международной федерацией клинической химии (IFCC), этилен-pNP-G7 (E-pNP-G7) принимается в качестве субстрата для предотвращения разложения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эктоэнзима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. Компоненты: R1-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Глюкозидаза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r w:rsidRPr="00B47188">
              <w:rPr>
                <w:rFonts w:ascii="MS Mincho" w:eastAsia="MS Mincho" w:hAnsi="MS Mincho" w:cs="MS Mincho" w:hint="eastAsia"/>
                <w:color w:val="000000"/>
                <w:sz w:val="12"/>
                <w:szCs w:val="12"/>
              </w:rPr>
              <w:t>＞</w:t>
            </w:r>
            <w:r w:rsidRPr="00B47188">
              <w:rPr>
                <w:color w:val="000000"/>
                <w:sz w:val="12"/>
                <w:szCs w:val="12"/>
              </w:rPr>
              <w:t xml:space="preserve">4500 у./л.; Сульфат магния 10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./л.; Хлорид натрия 50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./л.; Буфер HEPES 50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./л. R2 - E pNP-G7 5.5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./л.;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уфер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HEPES 50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./л.; Хлорид натрия 50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ммоль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./л.; Компоненты не могут быть взаимозаменяемы в различных комплектах. Время проведения теста 60 сек. Объем R1-240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Объем R2-60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 Объем образца-7,5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 Количество тестов в упаковке не более 783. Калибровка реагента проводится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мультикалибраторе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Контроль реагента проводится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мультиконтроле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Уровень 1 и 2 . Линейный диапазон реагента: свыше 1500 у/л.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Не допускается загрязнения и повреждения штрих кода. Расстояние между дном флакона и штрих кодом должно соответствовать диапазону 15мм-25мм.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</w:t>
            </w:r>
            <w:r w:rsidRPr="00B47188">
              <w:rPr>
                <w:color w:val="000000"/>
                <w:sz w:val="12"/>
                <w:szCs w:val="12"/>
              </w:rPr>
              <w:lastRenderedPageBreak/>
              <w:t>сертифицированного специалиста для адаптации реагента.</w:t>
            </w:r>
          </w:p>
          <w:p w:rsidR="00B718C4" w:rsidRPr="00B47188" w:rsidRDefault="00B718C4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80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Натрий (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Natrium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-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C22B3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312 422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D741E5" w:rsidRDefault="00D741E5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624844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3BF" w:rsidRPr="00B47188" w:rsidRDefault="00C053BF" w:rsidP="00C053BF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Реагент применяется для количественного определения в условиях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in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vitro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концентрации натрии (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Na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) в сыворотке или плазме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CS-T240. О-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нитрофинол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β-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>Д-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галактопирано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катклизируется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натрий зависимым β-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галактозидаза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проводить О-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нитрофинол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поглащает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при 405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нм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прямо пропорционально концентрации иону натрия . Реагенты : R1-- β-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галактозид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≥0.70 U/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ml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;R2- О-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нитрофинол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β-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>Д-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галактопиран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-≥ 5.2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mmol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/l .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Калибровачный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образец - раствор содержащий ионы натрия -на этикетке . Объем R1: 180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 Объем R2 : 60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 Объем пробы 8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. Время проведения теста 120 s. Количество тестов в упаковке не более 424. Калибровка и контроль в наборе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Калибровка реагента проводится также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мультикалибраторе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 Контроль реагента проводится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мультиконтроле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Уровень 1 и 2 . Линейность диапазон : 80-180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mmol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/l .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80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Калий (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Potassium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- K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C22B3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338 458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D741E5" w:rsidRDefault="00D741E5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676916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3BF" w:rsidRPr="00B47188" w:rsidRDefault="00C053BF" w:rsidP="00C053BF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Реагент применяется для количественного определения в условиях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in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vitro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концентрации калии (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Ka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) в сыворотке или плазме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CS-T240. Калии определяется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фермативной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реакцией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фосфоенолпирувате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субстрат катализируемый калий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зависемая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пируваткиназы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Продукт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пируват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прореагировал с NADH под действием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лактата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дегидрогеназы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для производства NAD⁺ и его значение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поглащения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340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нм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 Реагенты : R1-пируват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фрсфорной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кислоты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,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разбавленный спиртом ≥ 3,0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mmol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/l ; ADP -≥ 3,0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mmol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/l ; α-кетон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глутаровая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кислота -≥ 1,0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mmol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/l ; NADH-≥ 0,30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mmol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/l;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пируваткиназа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- ≥ 1,0 U/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ml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 R2-лактатдегидрогеназа -≥ 60 U/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ml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 Калибровочный образец калия = раствор содержащий ион калия - на этикетке . Объем R1: 180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. Объем R2: 60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Объем пробы 5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мкл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. Время проведения теста 120 s. Калибровка и контроль в наборе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Калибровка реагента проводится также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мультикалибраторе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. Контроль реагента проводится на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мультиконтроле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Уровень 1 и 2 . Линейность диапазон : 2,10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mmol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/l . Количество тестов в упаковке не более 424. Реагенты поставляются в одноразовой заводской упаковке (флакон). Флакон имеет индивидуальный штрих код, который содержит информацию о наименовании реагента, тип реагента, объем реагента, дате производства реагента, дате окончании срока годности реагента. Штрих код флакона должен быть совместим с ОС анализатора и системой безопасности анализатора.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80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Сыворотка для клинико-химической калибровки (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Clinical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Chemical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Calibration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Serum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193 488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B718C4" w:rsidP="00CF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193 488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3BF" w:rsidRPr="00B47188" w:rsidRDefault="00C053BF" w:rsidP="00C053BF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Калибровочный раствор приготовлен на основе биоматериала человека,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лиофилизированный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порошок предназначен для калибровки клинического определения ряда биохимических показателей калибровки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 следующих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аналитов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: ALB, ALP, ALT, AMY, AST, BUN, UREA,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Ca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-CPC,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Ca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-ARS, CHE, CK, CL, CO2, CRE, CRE-ENZYME, D-BIL, D-BIL-V, GGT, GLDH, GLU-HK, GLU-OX, HBDH, K, LAP, LDH,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Mg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-XB,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Na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, P-AMY, PHOS, TB, TB-V, TBA, TC, TG, TP, UA,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Zn,Fe,TIBC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. ACP. Фасовка 5 мл х 4.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F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B718C4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71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Сыворотка для клинико-химического контроля качества Уровень 1 (Clinical Chemical Quality Control Serum Level 1)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F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177 907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B718C4" w:rsidP="00CF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177 907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3BF" w:rsidRPr="00B47188" w:rsidRDefault="00C053BF" w:rsidP="00C053BF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Контрольный материал «Сыворотка контрольная для биохимических исследований уровень 1",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лиофилизованный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препарат от светло-желтого до светло-кремового цвета для оценки точности 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воспроизводимости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 следующих параметров: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ALB, ALP, ALT, AMY, AST, BUN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( 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UREA),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Ca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-CPC,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Ca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-ARS, CHE, CK, CL, CO2, CRE, CRE-ENZYME, D-BIL, D-BIL-V, GGT, GLDH, GLU-HK, GLU-OX, HBDH, K, LAP, LDH,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Mg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-XB,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Na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, P-AMY, PHOS, TB, TB-V, TBA, TC, TG, TP, UA,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Zn,Fe,TIBC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. ACP. Фасовка 5 мл х 4.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F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B718C4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718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Сыворотка для клинико-химического контроля качества Уровень 2 (Clinical Chemical Quality Control Serum Level 2)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F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B718C4" w:rsidP="00CF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130 841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064" w:rsidRPr="00B47188" w:rsidRDefault="00C06064" w:rsidP="00C06064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Контрольный материал «Сыворотка контрольная для биохимических исследований уровень 2 ",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лиофилизованный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препарат от светло-желтого до светло-кремового цвета для оценки точности 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воспроизводимости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 следующих параметров: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ALB, ALP, ALT, AMY, AST, BUN, UREA,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Ca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-CPC,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Ca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-ARS, CHE, CK, CL, CO2, CRE, CRE-ENZYME, D-BIL, D-BIL-V, GGT, GLDH, GLU-HK, GLU-OX, HBDH, K, LAP, LDH,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Mg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-XB,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Na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, P-AMY, PHOS, TB, TB-V, TBA, TC, TG, TP, UA,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Zn,Fe,TIBC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. ACP. Фасовка 5 мл х 4.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F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Сыворотка для контроля специфических белков Уровень 1 (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protein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serum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Level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1)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F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134 068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B718C4" w:rsidP="00CF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134 068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064" w:rsidRPr="00B47188" w:rsidRDefault="00C06064" w:rsidP="00C06064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«Контрольная сыворотка специфических белков» (уровень№1) используется для оценки точности 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воспроизводимости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измерения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 следующих параметров: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IgA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IgM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IgG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/C3/C4/PA/TRF/β2-MG/ASO/CRP/ALB/RBP. 1*1 мл.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F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Сыворотка для контроля специфических белков Уровень 2 (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protein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serum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Level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2)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F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134 068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134 068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064" w:rsidRPr="00B47188" w:rsidRDefault="00C06064" w:rsidP="00C06064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«Контрольная сыворотка специфических белков» (уровень№2) используется для оценки точности 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воспроизводимости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измерения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 следующих параметров: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IgA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IgM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IgG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/C3/C4/PA/TRF/β2-MG/ASO/CRP/ALB/RBP. 1*1 мл.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Сыворотка для контроля липидов Уровень 1 (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Lipid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serum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Level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1)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F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56 382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064" w:rsidRPr="00B47188" w:rsidRDefault="00C06064" w:rsidP="00C06064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>«Контрольная сыворотка липидов» (уровень №1) жидкая готова к использованию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Используется для оценки точности 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воспроизводимости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измерения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 следующих параметров: APO A1/APO B/TC/HDL-C/LDL-C/LP(a)/TG\RF. Фасовка: 1мл х 1 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Сыворотка для контроля липидов Уровень 2 (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Lipid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serum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Level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2)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F1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56 382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064" w:rsidRPr="00B47188" w:rsidRDefault="00C06064" w:rsidP="00C06064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>«Контрольная сыворотка липидов» (уровень №2 ) жидкая готова к использованию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Используется для оценки точности 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воспроизводимости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измерения на биохимическом анализаторе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 следующих параметров: APO A1/APO B/TC/HDL-C/LDL-C/LP(a)/TG\RF. Фасовка: 1мл х 1 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80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CS-Антибактериальный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безфосфорный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детергент (CS-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Bacterial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Phosphor-Free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Detergent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C22B3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EA2223" w:rsidRDefault="00EA2223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166462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064" w:rsidRPr="00B47188" w:rsidRDefault="00C06064" w:rsidP="00C06064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Антибактериальный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безфосфорный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детергент для очистки зонда для отбора реактивов, реакционной кюветы и реакционной чашки для замачивания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автохимического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анализатора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CS-T240. Поверхностно-активное вещество гидроксид натрия может удалять органические вещества, такие как белок, а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бактериостаты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могут подавлять рост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бактерий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.И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>нгредиент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- Натрия гидроксид, поверхностно-активное вещество,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бактериостаты.Объем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500 мл.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A2223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223" w:rsidRPr="00C5704B" w:rsidRDefault="00EA2223" w:rsidP="0080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223" w:rsidRPr="00C5704B" w:rsidRDefault="00EA2223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Щелочной</w:t>
            </w: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детергент</w:t>
            </w: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(CS-Alkaline Detergent)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223" w:rsidRPr="00C5704B" w:rsidRDefault="00EA2223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223" w:rsidRPr="00C5704B" w:rsidRDefault="00EA222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2223" w:rsidRPr="00C5704B" w:rsidRDefault="00EA2223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223" w:rsidRPr="00EA2223" w:rsidRDefault="00EA2223" w:rsidP="0027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166462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223" w:rsidRPr="00B47188" w:rsidRDefault="00EA2223" w:rsidP="00C06064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Щелочной детергент для очистки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пробоотборного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зонда и реакционной кюветы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автохимического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анализатора серии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Dirui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CS-T240. Поверхностно-активное вещество и гидроксид натрия могут удалять органические вещества, такие как белок. Ингредиент - Натрия гидроксид, поверхностно-активное вещество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Объем 2000 мл.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EA2223" w:rsidRPr="00B47188" w:rsidRDefault="00EA2223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137E8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E8" w:rsidRDefault="00A137E8" w:rsidP="0080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7E8" w:rsidRPr="00093B14" w:rsidRDefault="00A137E8" w:rsidP="00A137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B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Годовой сервисный набор для работы для биохимического автоматического анализатора CS-Т240 </w:t>
            </w:r>
          </w:p>
          <w:p w:rsidR="00A137E8" w:rsidRPr="00A137E8" w:rsidRDefault="00A137E8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7E8" w:rsidRPr="00A137E8" w:rsidRDefault="00A137E8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комп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37E8" w:rsidRDefault="00A137E8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37E8" w:rsidRPr="00A137E8" w:rsidRDefault="00702265" w:rsidP="00702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2372474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37E8" w:rsidRPr="00C5704B" w:rsidRDefault="00702265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2372474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265" w:rsidRPr="00702265" w:rsidRDefault="00702265" w:rsidP="0070226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1.Галогенная лампа расходные материалы и запасные части для ежегодного обслуживания биохимического анализатора </w:t>
            </w:r>
            <w:proofErr w:type="spellStart"/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Dirui</w:t>
            </w:r>
            <w:proofErr w:type="spellEnd"/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CS-T240. Мощность галогеновой лампы: 20 Вт/12 Вольт (охлаждение водой)</w:t>
            </w:r>
            <w:proofErr w:type="gramStart"/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Количество 3.  Совместим с биохимическим автоматическим анализатором CS-Т240. </w:t>
            </w:r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 xml:space="preserve">2.Пробоотборник реагента предназначен для забора реагента и сыворотки крови на биохимический анализатор </w:t>
            </w:r>
            <w:proofErr w:type="spellStart"/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Dirui</w:t>
            </w:r>
            <w:proofErr w:type="spellEnd"/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CS-T240. Пробоотборник оснащен детектором уровня жидкости и датчиком защиты иглы от повреждения в вертикальном и горизонтальном направлениях</w:t>
            </w:r>
            <w:proofErr w:type="gramStart"/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Количество 2. Совместим с биохимическим автоматическим анализатором CS-Т240. </w:t>
            </w:r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 xml:space="preserve">3. Реакционные кюветы для проведения иммуноферментной реакции на биохимическом анализаторе </w:t>
            </w:r>
            <w:proofErr w:type="spellStart"/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Dirui</w:t>
            </w:r>
            <w:proofErr w:type="spellEnd"/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CS-T240. 120 оптических пластиковых реакционных кювет многократного использования, оптический диаметр: 6 мм. Количество 2. Совместим с биохимическим автоматическим анализатором CS-Т240. </w:t>
            </w:r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4. Вакуумный насос представляет собой самовсасывающий насос для использования с жидкостями. Максимальный поток: 0,4 л/мин. Рабочее давление: 0,5 бар. Напряжение: 24 V DC. Высота всасывания: 3 м. Вес 190 г. Размер: 30 х 52 мм. Материал: EPDM (</w:t>
            </w:r>
            <w:proofErr w:type="gramStart"/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этилен-пропиленовый</w:t>
            </w:r>
            <w:proofErr w:type="gramEnd"/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сополимер - СКЭП), Нейлон. Количество 1. Совместим с биохимическим автоматическим анализатором CS-Т240.                                                    5. Насос положительного давления. Представляет собой самовсасывающий насос для использования с жидкостями. </w:t>
            </w:r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 xml:space="preserve">Максимальный поток: 0,6 л./мин. Рабочее давление: +100 </w:t>
            </w:r>
            <w:proofErr w:type="spellStart"/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kPa</w:t>
            </w:r>
            <w:proofErr w:type="spellEnd"/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(1 бар). Напряжение: DC 24 </w:t>
            </w:r>
            <w:proofErr w:type="spellStart"/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В.Высота</w:t>
            </w:r>
            <w:proofErr w:type="spellEnd"/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всасывания: 3 м</w:t>
            </w:r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Вес 190 г. Размер: 74,3х30,5х30 мм. Материал: EPDM (</w:t>
            </w:r>
            <w:proofErr w:type="gramStart"/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этилен-пропиленовый</w:t>
            </w:r>
            <w:proofErr w:type="gramEnd"/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сополимер - СКЭП). Количество 1. Совместим с биохимическим автоматическим анализатором CS-Т240.  </w:t>
            </w:r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  <w:proofErr w:type="gramStart"/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</w:t>
            </w:r>
            <w:proofErr w:type="gramEnd"/>
            <w:r w:rsidRPr="0070226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установки и замены расходных материалов.</w:t>
            </w:r>
          </w:p>
          <w:p w:rsidR="00A137E8" w:rsidRPr="00761786" w:rsidRDefault="00A137E8" w:rsidP="00134F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718C4" w:rsidRPr="00C5704B" w:rsidTr="0043562F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BF-6800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8C4" w:rsidRPr="00B47188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134F2E">
            <w:pPr>
              <w:tabs>
                <w:tab w:val="center" w:pos="2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 w:rsidR="00134F2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реагент BF-6800 (SLS-1) (BF-6800 (SLS-1))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C22B3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EA2223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146916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0E6" w:rsidRPr="00B47188" w:rsidRDefault="009B10E6" w:rsidP="009B10E6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B47188">
              <w:rPr>
                <w:color w:val="000000"/>
                <w:sz w:val="12"/>
                <w:szCs w:val="12"/>
              </w:rPr>
              <w:t>Лизирующий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реагент BF-6500 (SLS-I) применяется на гематологический анализатор BF- 6800 для растворения красных кровяных клеток (эритроцитов), обнаружения содержания белых кровяных клеток (лейкоцитов), базофилов 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гемаглобина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. Принцип метода: основная функция – растворение мембран эритроцитов, высвобождение гемоглобина из эритроцитов, уменьшение числа лейкоцитов за исключением базофилов.</w:t>
            </w:r>
            <w:r w:rsidRPr="00B47188">
              <w:rPr>
                <w:color w:val="000000"/>
                <w:sz w:val="12"/>
                <w:szCs w:val="12"/>
              </w:rPr>
              <w:br/>
              <w:t>Состав: катионные поверхностно-активные вещества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Условия хранения и срок годности: герметично - при температуре от 2 до 30 ° C в темном месте в течение 12 месяцев . Срок действия после открытия составляет 60 дней при температуре 2 ° C ~ 30 ° C.  Объем 500 мл.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13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 w:rsidR="00134F2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реагент BF-FDT (BF-FDT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Lyse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C22B3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EA2223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189249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0E6" w:rsidRPr="00B47188" w:rsidRDefault="009B10E6" w:rsidP="009B10E6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B47188">
              <w:rPr>
                <w:color w:val="000000"/>
                <w:sz w:val="12"/>
                <w:szCs w:val="12"/>
              </w:rPr>
              <w:t>Лизирующий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реагент  BF-FDT  применяется на гематологический анализатор BF - 6800  для растворения красных кровяных клеток (эритроцитов), окрашивания клеток, обнаружения содержания лимфоцитов, моноцитов, эозинофилов и нейтрофилов. Принцип метода: анализатор может провести соответствующую операцию автоматически: разбавить часть образца цельной крови с помощью раствора BF-FDO, добавить раствор BF-FDT после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лизирования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клеток. После начального периода реакции данные по числу и уровню лейкоцитов могут быть получены посредством лазерной технологии разброса и технологии проточной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цитометрии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. Состав: положительные ионные поверхностно-активные вещества и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неионногенные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поверхностно-активные вещества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Условия хранения и срок годности: герметично - при температуре от 2 до  30 ° C в темном месте в течение 12 месяцев; открытую емкость - при температуре от 2 до30 ° C в темном месте в течение 60 дней .Объем  500 мл . В закуп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134F2E" w:rsidP="0080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реагент BF-FDO (BF-FDO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Lyse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C22B3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345 523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EA2223" w:rsidRDefault="00EA2223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1036569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0E6" w:rsidRPr="00B47188" w:rsidRDefault="009B10E6" w:rsidP="009B10E6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B47188">
              <w:rPr>
                <w:color w:val="000000"/>
                <w:sz w:val="12"/>
                <w:szCs w:val="12"/>
              </w:rPr>
              <w:t>Лизирующий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реагент  BF-FDO применяется на гематологический анализатор  BF- 6800 для растворения красных кровяных клеток (эритроцитов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)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, окрашивания клеток, обнаружения содержания лимфоцитов, моноцитов, эозинофилов и нейтрофилов. Принцип метода: анализатор может провести соответствующую операцию автоматически: разбавить часть образца цельной крови с помощью раствора BF-FDO, добавить раствор BF-FDT после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лизирования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клеток. После начального периода реакции данные по числу и уровню лейкоцитов могут быть получены посредством лазерной технологии разброса и технологии проточной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цитометрии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.</w:t>
            </w:r>
            <w:r w:rsidRPr="00B47188">
              <w:rPr>
                <w:color w:val="000000"/>
                <w:sz w:val="12"/>
                <w:szCs w:val="12"/>
              </w:rPr>
              <w:br/>
              <w:t xml:space="preserve">Состав: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неионногенные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поверхностно-активные вещества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>Условия хранения и срок годности: герметично - при температуре от 2 до 30 ° C в темном месте в течение 12 месяцев . Срок действия после открытия составляет 60 дней при температуре 2 ° C ~ 30 ° C. Объем  5 л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В закуп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134F2E" w:rsidP="0080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Дилюент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BF (BF-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Diluent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C22B3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EA2223" w:rsidRDefault="00EA2223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173052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0E6" w:rsidRPr="00B47188" w:rsidRDefault="009B10E6" w:rsidP="009B10E6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Реагент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Дилюент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BF применяется на гематологический анализатор  BF- 6800  для разбавления образцов</w:t>
            </w:r>
            <w:r w:rsidRPr="00B47188">
              <w:rPr>
                <w:color w:val="000000"/>
                <w:sz w:val="12"/>
                <w:szCs w:val="12"/>
              </w:rPr>
              <w:br/>
              <w:t xml:space="preserve">Принцип метода: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При наличии соответствующих осмотического давления и проводимости, сохраняется целостность первоначального объема клеток крови в определенный период времени, чтобы гарантировать доступ к величине пульса, соответствующего объему клетки/ Состав: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содиум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сульфат, калия хлорид, натрия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дигидрофосфат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, калия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дигидроортофосфат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>, Условия хранения и срок годности: герметично - при температуре от 2 до30 ° C в темном месте в течение 12 месяцев;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 Срок действия после открытия составляет 60 дней при температуре 2 ° C ~ 30 ° C.  Объем 20 л. 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EA2223" w:rsidRPr="00C5704B" w:rsidTr="0043562F">
        <w:trPr>
          <w:trHeight w:val="10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223" w:rsidRPr="00C5704B" w:rsidRDefault="00EA2223" w:rsidP="0013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223" w:rsidRPr="00C5704B" w:rsidRDefault="00EA2223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Детергент BF (BF-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Dietergent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223" w:rsidRPr="00C5704B" w:rsidRDefault="00EA2223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223" w:rsidRPr="00C5704B" w:rsidRDefault="00EA2223" w:rsidP="00C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223" w:rsidRPr="00C5704B" w:rsidRDefault="00EA2223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223" w:rsidRPr="00EA2223" w:rsidRDefault="00EA2223" w:rsidP="0027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173052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223" w:rsidRPr="00B47188" w:rsidRDefault="00EA2223" w:rsidP="009B10E6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Реагент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Дилюент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BF применяется на гематологический анализатор  BF- 6800  для разбавления образцов</w:t>
            </w:r>
            <w:r w:rsidRPr="00B47188">
              <w:rPr>
                <w:color w:val="000000"/>
                <w:sz w:val="12"/>
                <w:szCs w:val="12"/>
              </w:rPr>
              <w:br/>
              <w:t xml:space="preserve">Принцип метода: При наличии соответствующих осмотического давления и проводимости, сохраняется целостность первоначального объема клеток крови в определенный период времени, чтобы гарантировать доступ к величине пульса, соответствующего объему клетки. Состав: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содиум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сульфат, калия хлорид, натрия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дигидрофосфат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, калия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дигидроортофосфат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Условия хранения и срок годности: герметично - при температуре от 2 до30 ° C в темном месте в течение 12 месяцев;  Срок действия после открытия составляет 60 дней при температуре 2 ° C ~ 30 ° C. Объем 20 л.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>закуп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  <w:p w:rsidR="00EA2223" w:rsidRPr="00B47188" w:rsidRDefault="00EA2223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2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13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  <w:r w:rsidR="00134F2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Контрольный материал для автоматического гематологического анализатора (5-part) Уровень 1 </w:t>
            </w:r>
            <w:proofErr w:type="gram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Automatic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Hematology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5-part (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Level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1))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4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B718C4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60 826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0E6" w:rsidRPr="00B47188" w:rsidRDefault="009B10E6" w:rsidP="009B10E6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Контрольная кровь на гематологический анализатор BF - 6800 предназначена для оценки точности и достоверности проведения результатов по 5 популяциям. Состав: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RBCs,WBCs,PLTs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экстракт животного происхождения. Срок годности 3 месяца при температуре от 2 до 8°С. Срок годности после вскрытия составляет 14 дней при 2 ° C ~ 8 ° C. Уровень 1 - 2,5 мл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В закуп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2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13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  <w:r w:rsidR="00134F2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Контрольный материал для автоматического гематологического анализатора (5-part) Уровень 2 </w:t>
            </w:r>
            <w:proofErr w:type="gram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Automatic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Hematology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5-part (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Level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2))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4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B718C4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60 826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0E6" w:rsidRPr="00B47188" w:rsidRDefault="009B10E6" w:rsidP="009B10E6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Контрольная кровь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предназначенана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гематологический анализатор BF - 6800 для оценки точности и достоверности проведения результатов по 5 популяциям. Состав: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RBCs,WBCs,PLTs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экстракт животного происхождения. Срок годности 3 месяца при температуре от 2 до 8°С. Срок годности после вскрытия составляет 14 дней при 2 ° C ~ 8 ° C. Уровень 2 - 2,5 мл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В закуп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B718C4" w:rsidRPr="00C5704B" w:rsidTr="0043562F">
        <w:trPr>
          <w:trHeight w:val="12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13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  <w:r w:rsidR="00134F2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8C4" w:rsidRPr="00C5704B" w:rsidRDefault="00B718C4" w:rsidP="00C57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Контрольный материал для автоматического гематологического анализатора (5-part) Уровень 3 </w:t>
            </w:r>
            <w:proofErr w:type="gram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Automatic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Hematology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5-part (</w:t>
            </w:r>
            <w:proofErr w:type="spell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Level</w:t>
            </w:r>
            <w:proofErr w:type="spellEnd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3))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C4" w:rsidRPr="00C5704B" w:rsidRDefault="00B718C4" w:rsidP="0041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B718C4" w:rsidP="00C5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C4" w:rsidRPr="00C5704B" w:rsidRDefault="00B718C4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A13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57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0E6" w:rsidRPr="00B47188" w:rsidRDefault="009B10E6" w:rsidP="009B10E6">
            <w:pPr>
              <w:jc w:val="center"/>
              <w:rPr>
                <w:color w:val="000000"/>
                <w:sz w:val="12"/>
                <w:szCs w:val="12"/>
              </w:rPr>
            </w:pPr>
            <w:r w:rsidRPr="00B47188">
              <w:rPr>
                <w:color w:val="000000"/>
                <w:sz w:val="12"/>
                <w:szCs w:val="12"/>
              </w:rPr>
              <w:t xml:space="preserve">Контрольная кровь предназначена на гематологический анализатор BF - 6800 для оценки точности и достоверности проведения результатов по 5 популяциям. Состав: </w:t>
            </w:r>
            <w:proofErr w:type="spellStart"/>
            <w:r w:rsidRPr="00B47188">
              <w:rPr>
                <w:color w:val="000000"/>
                <w:sz w:val="12"/>
                <w:szCs w:val="12"/>
              </w:rPr>
              <w:t>RBCs,WBCs,PLTs</w:t>
            </w:r>
            <w:proofErr w:type="spellEnd"/>
            <w:r w:rsidRPr="00B47188">
              <w:rPr>
                <w:color w:val="000000"/>
                <w:sz w:val="12"/>
                <w:szCs w:val="12"/>
              </w:rPr>
              <w:t xml:space="preserve"> экстракт животного происхождения. Срок годности 3 месяца при температуре от 2 до 8°С. Срок годности после вскрытия составляет 14 дней при 2 ° C ~ 8 ° C. Уровень 3 - 2,5 мл</w:t>
            </w:r>
            <w:proofErr w:type="gramStart"/>
            <w:r w:rsidRPr="00B47188">
              <w:rPr>
                <w:color w:val="000000"/>
                <w:sz w:val="12"/>
                <w:szCs w:val="12"/>
              </w:rPr>
              <w:t xml:space="preserve"> .</w:t>
            </w:r>
            <w:proofErr w:type="gramEnd"/>
            <w:r w:rsidRPr="00B47188">
              <w:rPr>
                <w:color w:val="000000"/>
                <w:sz w:val="12"/>
                <w:szCs w:val="12"/>
              </w:rPr>
              <w:t xml:space="preserve"> В закуп товара входит сопутствующая услуга: выезд сертифицированного специалиста для адаптации реагента.</w:t>
            </w:r>
          </w:p>
          <w:p w:rsidR="00B718C4" w:rsidRPr="00B47188" w:rsidRDefault="00B718C4" w:rsidP="00C76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</w:tbl>
    <w:p w:rsidR="009E49C1" w:rsidRDefault="009E49C1" w:rsidP="004E7B28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поставки</w:t>
      </w:r>
      <w:r>
        <w:rPr>
          <w:rFonts w:ascii="Times New Roman" w:hAnsi="Times New Roman" w:cs="Times New Roman"/>
          <w:sz w:val="24"/>
          <w:szCs w:val="24"/>
        </w:rPr>
        <w:t xml:space="preserve">: 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269A2">
        <w:rPr>
          <w:rFonts w:ascii="Times New Roman" w:hAnsi="Times New Roman" w:cs="Times New Roman"/>
          <w:sz w:val="24"/>
          <w:szCs w:val="24"/>
          <w:lang w:val="kk-KZ"/>
        </w:rPr>
        <w:t>по заявке заказчика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>
        <w:rPr>
          <w:rFonts w:ascii="Times New Roman" w:hAnsi="Times New Roman" w:cs="Times New Roman"/>
          <w:sz w:val="24"/>
          <w:szCs w:val="24"/>
        </w:rPr>
        <w:t xml:space="preserve">:  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34F2E">
        <w:rPr>
          <w:rFonts w:ascii="Times New Roman" w:hAnsi="Times New Roman" w:cs="Times New Roman"/>
          <w:sz w:val="24"/>
          <w:szCs w:val="24"/>
          <w:lang w:val="kk-KZ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4F2E">
        <w:rPr>
          <w:rFonts w:ascii="Times New Roman" w:hAnsi="Times New Roman" w:cs="Times New Roman"/>
          <w:sz w:val="24"/>
          <w:szCs w:val="24"/>
          <w:lang w:val="kk-KZ"/>
        </w:rPr>
        <w:t>11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kk-KZ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kk-KZ"/>
        </w:rPr>
        <w:t>,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:00 м. вр, </w:t>
      </w:r>
      <w:r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C469BE" w:rsidRPr="00195835" w:rsidRDefault="004E7B28" w:rsidP="00195835">
      <w:pPr>
        <w:jc w:val="both"/>
        <w:rPr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Выделенная сумма на закупу медицинских изделий и  товаров: </w:t>
      </w:r>
      <w:r w:rsidRPr="0056382B">
        <w:rPr>
          <w:rFonts w:ascii="Times New Roman" w:hAnsi="Times New Roman"/>
          <w:b/>
          <w:sz w:val="24"/>
          <w:szCs w:val="24"/>
        </w:rPr>
        <w:t xml:space="preserve"> </w:t>
      </w:r>
      <w:r w:rsidR="00702265">
        <w:rPr>
          <w:rFonts w:ascii="Times New Roman" w:hAnsi="Times New Roman"/>
          <w:b/>
          <w:sz w:val="24"/>
          <w:szCs w:val="24"/>
          <w:lang w:val="kk-KZ"/>
        </w:rPr>
        <w:t>9 298 216</w:t>
      </w:r>
      <w:r w:rsidR="0056382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тенге  </w:t>
      </w:r>
      <w:bookmarkStart w:id="0" w:name="_GoBack"/>
      <w:bookmarkEnd w:id="0"/>
    </w:p>
    <w:sectPr w:rsidR="00C469BE" w:rsidRPr="00195835" w:rsidSect="00B718C4">
      <w:pgSz w:w="16838" w:h="11906" w:orient="landscape"/>
      <w:pgMar w:top="709" w:right="426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5A"/>
    <w:rsid w:val="000426C9"/>
    <w:rsid w:val="00071764"/>
    <w:rsid w:val="00077638"/>
    <w:rsid w:val="0009260B"/>
    <w:rsid w:val="00093B14"/>
    <w:rsid w:val="0012688C"/>
    <w:rsid w:val="00134F2E"/>
    <w:rsid w:val="001679C7"/>
    <w:rsid w:val="00195835"/>
    <w:rsid w:val="001A6008"/>
    <w:rsid w:val="001F59EA"/>
    <w:rsid w:val="002052DB"/>
    <w:rsid w:val="00206A11"/>
    <w:rsid w:val="00273EA8"/>
    <w:rsid w:val="002C6F7A"/>
    <w:rsid w:val="002D254E"/>
    <w:rsid w:val="002D7060"/>
    <w:rsid w:val="0035125A"/>
    <w:rsid w:val="003A3DB5"/>
    <w:rsid w:val="00404D2B"/>
    <w:rsid w:val="00413089"/>
    <w:rsid w:val="004269A2"/>
    <w:rsid w:val="0043562F"/>
    <w:rsid w:val="00475F8A"/>
    <w:rsid w:val="00482E5E"/>
    <w:rsid w:val="004E7B28"/>
    <w:rsid w:val="0056382B"/>
    <w:rsid w:val="00612E25"/>
    <w:rsid w:val="0066432E"/>
    <w:rsid w:val="006A68FF"/>
    <w:rsid w:val="006C304A"/>
    <w:rsid w:val="00702265"/>
    <w:rsid w:val="00761786"/>
    <w:rsid w:val="007B2BB5"/>
    <w:rsid w:val="0080311C"/>
    <w:rsid w:val="00807981"/>
    <w:rsid w:val="008B22D7"/>
    <w:rsid w:val="009065FB"/>
    <w:rsid w:val="00910F6C"/>
    <w:rsid w:val="00957924"/>
    <w:rsid w:val="009618D3"/>
    <w:rsid w:val="009B10E6"/>
    <w:rsid w:val="009E49C1"/>
    <w:rsid w:val="00A029E3"/>
    <w:rsid w:val="00A137E8"/>
    <w:rsid w:val="00A54CD5"/>
    <w:rsid w:val="00A64EF7"/>
    <w:rsid w:val="00A87615"/>
    <w:rsid w:val="00A9718C"/>
    <w:rsid w:val="00AF37C2"/>
    <w:rsid w:val="00B25B10"/>
    <w:rsid w:val="00B47188"/>
    <w:rsid w:val="00B718C4"/>
    <w:rsid w:val="00BC021A"/>
    <w:rsid w:val="00BF2D7B"/>
    <w:rsid w:val="00C053BF"/>
    <w:rsid w:val="00C06064"/>
    <w:rsid w:val="00C06256"/>
    <w:rsid w:val="00C22B33"/>
    <w:rsid w:val="00C23682"/>
    <w:rsid w:val="00C469BE"/>
    <w:rsid w:val="00C5704B"/>
    <w:rsid w:val="00C86246"/>
    <w:rsid w:val="00CB13FD"/>
    <w:rsid w:val="00CC16D2"/>
    <w:rsid w:val="00CF1220"/>
    <w:rsid w:val="00D35766"/>
    <w:rsid w:val="00D42DCD"/>
    <w:rsid w:val="00D741E5"/>
    <w:rsid w:val="00E07A62"/>
    <w:rsid w:val="00E32C07"/>
    <w:rsid w:val="00E46A37"/>
    <w:rsid w:val="00E913D7"/>
    <w:rsid w:val="00EA2223"/>
    <w:rsid w:val="00E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Style1"/>
    <w:rsid w:val="009E49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Style1"/>
    <w:rsid w:val="009E49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2A5B-3826-40AB-BED5-44021D32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6868</Words>
  <Characters>39148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ДАУРЕНБЕК</dc:creator>
  <cp:lastModifiedBy>ДАУРЕНБЕК</cp:lastModifiedBy>
  <cp:revision>3</cp:revision>
  <dcterms:created xsi:type="dcterms:W3CDTF">2024-10-31T07:30:00Z</dcterms:created>
  <dcterms:modified xsi:type="dcterms:W3CDTF">2024-10-31T07:52:00Z</dcterms:modified>
</cp:coreProperties>
</file>